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r>
        <w:rPr>
          <w:rFonts w:ascii="Arial" w:hAnsi="Arial" w:eastAsia="等线" w:cs="Arial"/>
          <w:color w:val="000000"/>
          <w:kern w:val="0"/>
          <w:position w:val="-10"/>
          <w:szCs w:val="21"/>
          <w:highlight w:val="none"/>
        </w:rPr>
        <w:drawing>
          <wp:inline distT="0" distB="0" distL="114300" distR="114300">
            <wp:extent cx="1562100" cy="342900"/>
            <wp:effectExtent l="0" t="0" r="0" b="0"/>
            <wp:docPr id="1" name="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2"/>
                    <pic:cNvPicPr>
                      <a:picLocks noChangeAspect="1"/>
                    </pic:cNvPicPr>
                  </pic:nvPicPr>
                  <pic:blipFill>
                    <a:blip r:embed="rId6"/>
                    <a:stretch>
                      <a:fillRect/>
                    </a:stretch>
                  </pic:blipFill>
                  <pic:spPr>
                    <a:xfrm>
                      <a:off x="0" y="0"/>
                      <a:ext cx="1562100" cy="342900"/>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highlight w:val="none"/>
        </w:rPr>
      </w:pPr>
      <w:r>
        <w:rPr>
          <w:rFonts w:hint="eastAsia" w:ascii="宋体" w:hAnsi="宋体" w:eastAsia="宋体" w:cs="宋体"/>
          <w:b/>
          <w:bCs/>
          <w:sz w:val="36"/>
          <w:szCs w:val="36"/>
        </w:rPr>
        <w:t>淮北矿业股份有限公司一批矿用螺杆式泥浆泵、离心泥浆泵</w:t>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pStyle w:val="2"/>
        <w:keepNext w:val="0"/>
        <w:keepLines w:val="0"/>
        <w:pageBreakBefore w:val="0"/>
        <w:wordWrap/>
        <w:overflowPunct/>
        <w:topLinePunct w:val="0"/>
        <w:bidi w:val="0"/>
        <w:spacing w:before="273" w:line="560" w:lineRule="exact"/>
        <w:jc w:val="center"/>
        <w:outlineLvl w:val="0"/>
        <w:rPr>
          <w:rFonts w:hint="default"/>
          <w:b/>
          <w:sz w:val="84"/>
          <w:szCs w:val="84"/>
          <w:highlight w:val="none"/>
        </w:rPr>
      </w:pPr>
      <w:r>
        <w:rPr>
          <w:rFonts w:hint="eastAsia"/>
          <w:b/>
          <w:bCs/>
          <w:color w:val="0000FF"/>
          <w:spacing w:val="-37"/>
          <w:sz w:val="84"/>
          <w:szCs w:val="84"/>
          <w:highlight w:val="none"/>
          <w:lang w:val="en-US" w:eastAsia="zh-CN"/>
        </w:rPr>
        <w:t>直接</w:t>
      </w:r>
      <w:r>
        <w:rPr>
          <w:b/>
          <w:color w:val="0000FF"/>
          <w:spacing w:val="43"/>
          <w:sz w:val="84"/>
          <w:szCs w:val="84"/>
          <w:highlight w:val="none"/>
        </w:rPr>
        <w:t>采</w:t>
      </w:r>
      <w:r>
        <w:rPr>
          <w:b/>
          <w:color w:val="0000FF"/>
          <w:spacing w:val="33"/>
          <w:sz w:val="84"/>
          <w:szCs w:val="84"/>
          <w:highlight w:val="none"/>
        </w:rPr>
        <w:t>购</w:t>
      </w:r>
      <w:r>
        <w:rPr>
          <w:b/>
          <w:bCs/>
          <w:color w:val="0000FF"/>
          <w:spacing w:val="-37"/>
          <w:sz w:val="84"/>
          <w:szCs w:val="84"/>
          <w:highlight w:val="none"/>
        </w:rPr>
        <w:t>文件</w:t>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pStyle w:val="2"/>
        <w:keepNext w:val="0"/>
        <w:keepLines w:val="0"/>
        <w:pageBreakBefore w:val="0"/>
        <w:wordWrap/>
        <w:overflowPunct/>
        <w:topLinePunct w:val="0"/>
        <w:bidi w:val="0"/>
        <w:spacing w:before="104" w:line="560" w:lineRule="exact"/>
        <w:ind w:left="3674"/>
        <w:rPr>
          <w:rFonts w:hint="default"/>
          <w:highlight w:val="none"/>
        </w:rPr>
      </w:pPr>
      <w:r>
        <w:rPr>
          <w:b/>
          <w:bCs/>
          <w:color w:val="000066"/>
          <w:spacing w:val="-5"/>
          <w:highlight w:val="none"/>
        </w:rPr>
        <w:t>二〇二</w:t>
      </w:r>
      <w:r>
        <w:rPr>
          <w:rFonts w:hint="eastAsia"/>
          <w:b/>
          <w:bCs/>
          <w:color w:val="000066"/>
          <w:spacing w:val="-5"/>
          <w:highlight w:val="none"/>
          <w:lang w:val="en-US" w:eastAsia="zh-CN"/>
        </w:rPr>
        <w:t>六</w:t>
      </w:r>
      <w:r>
        <w:rPr>
          <w:b/>
          <w:bCs/>
          <w:color w:val="000066"/>
          <w:spacing w:val="-5"/>
          <w:highlight w:val="none"/>
        </w:rPr>
        <w:t>年</w:t>
      </w:r>
      <w:r>
        <w:rPr>
          <w:rFonts w:hint="eastAsia"/>
          <w:b/>
          <w:bCs/>
          <w:color w:val="000066"/>
          <w:spacing w:val="-5"/>
          <w:highlight w:val="none"/>
          <w:lang w:val="en-US" w:eastAsia="zh-CN"/>
        </w:rPr>
        <w:t>十</w:t>
      </w:r>
      <w:r>
        <w:rPr>
          <w:b/>
          <w:bCs/>
          <w:color w:val="000066"/>
          <w:spacing w:val="-5"/>
          <w:highlight w:val="none"/>
        </w:rPr>
        <w:t>月</w:t>
      </w:r>
    </w:p>
    <w:p>
      <w:pPr>
        <w:keepNext w:val="0"/>
        <w:keepLines w:val="0"/>
        <w:pageBreakBefore w:val="0"/>
        <w:wordWrap/>
        <w:overflowPunct/>
        <w:topLinePunct w:val="0"/>
        <w:bidi w:val="0"/>
        <w:spacing w:line="560" w:lineRule="exact"/>
        <w:rPr>
          <w:rFonts w:ascii="Arial" w:hAnsi="Arial" w:eastAsia="等线" w:cs="Arial"/>
          <w:szCs w:val="21"/>
          <w:highlight w:val="none"/>
          <w:lang w:bidi="ar"/>
        </w:rPr>
        <w:sectPr>
          <w:pgSz w:w="11906" w:h="16839"/>
          <w:pgMar w:top="1190" w:right="1050" w:bottom="1" w:left="1418" w:header="1" w:footer="1" w:gutter="0"/>
          <w:cols w:space="0" w:num="1"/>
          <w:docGrid w:type="lines" w:linePitch="312" w:charSpace="0"/>
        </w:sectPr>
      </w:pPr>
    </w:p>
    <w:p>
      <w:pPr>
        <w:pStyle w:val="2"/>
        <w:keepNext w:val="0"/>
        <w:keepLines w:val="0"/>
        <w:pageBreakBefore w:val="0"/>
        <w:wordWrap/>
        <w:overflowPunct/>
        <w:topLinePunct w:val="0"/>
        <w:bidi w:val="0"/>
        <w:spacing w:before="64" w:line="560" w:lineRule="exact"/>
        <w:jc w:val="center"/>
        <w:textAlignment w:val="auto"/>
        <w:outlineLvl w:val="0"/>
        <w:rPr>
          <w:rFonts w:hint="default"/>
          <w:b/>
          <w:bCs/>
          <w:spacing w:val="-4"/>
          <w:sz w:val="36"/>
          <w:szCs w:val="36"/>
          <w:highlight w:val="none"/>
        </w:rPr>
      </w:pPr>
      <w:r>
        <w:rPr>
          <w:b/>
          <w:bCs/>
          <w:spacing w:val="-4"/>
          <w:sz w:val="36"/>
          <w:szCs w:val="36"/>
          <w:highlight w:val="none"/>
        </w:rPr>
        <w:t xml:space="preserve">第一章 </w:t>
      </w:r>
      <w:r>
        <w:rPr>
          <w:rFonts w:hint="eastAsia"/>
          <w:b/>
          <w:bCs/>
          <w:spacing w:val="-4"/>
          <w:sz w:val="36"/>
          <w:szCs w:val="36"/>
          <w:highlight w:val="none"/>
          <w:lang w:val="en-US" w:eastAsia="zh-CN"/>
        </w:rPr>
        <w:t>直接</w:t>
      </w:r>
      <w:r>
        <w:rPr>
          <w:b/>
          <w:bCs/>
          <w:spacing w:val="-4"/>
          <w:sz w:val="36"/>
          <w:szCs w:val="36"/>
          <w:highlight w:val="none"/>
        </w:rPr>
        <w:t>采购公告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黑体" w:hAnsi="黑体" w:eastAsia="黑体" w:cs="黑体"/>
          <w:sz w:val="36"/>
          <w:szCs w:val="36"/>
          <w:highlight w:val="none"/>
        </w:rPr>
      </w:pPr>
      <w:bookmarkStart w:id="2" w:name="_GoBack"/>
      <w:r>
        <w:rPr>
          <w:rFonts w:hint="eastAsia" w:ascii="黑体" w:hAnsi="黑体" w:eastAsia="黑体" w:cs="黑体"/>
          <w:sz w:val="36"/>
          <w:szCs w:val="36"/>
          <w:highlight w:val="none"/>
        </w:rPr>
        <w:t>一、采购条件</w:t>
      </w:r>
    </w:p>
    <w:p>
      <w:pPr>
        <w:spacing w:line="560" w:lineRule="atLeast"/>
        <w:ind w:firstLine="720" w:firstLineChars="200"/>
        <w:rPr>
          <w:rFonts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淮北矿业股份有限公司一批矿用螺杆式泥浆泵、离心泥浆泵采购项目资金来自企业自筹。本项目已具备采购条件，现对该项目进行</w:t>
      </w:r>
      <w:r>
        <w:rPr>
          <w:rFonts w:hint="eastAsia" w:ascii="仿宋_GB2312" w:hAnsi="仿宋_GB2312" w:eastAsia="仿宋_GB2312" w:cs="仿宋_GB2312"/>
          <w:sz w:val="36"/>
          <w:szCs w:val="36"/>
          <w:highlight w:val="none"/>
          <w:lang w:val="en-US" w:eastAsia="zh-CN"/>
        </w:rPr>
        <w:t>直接</w:t>
      </w:r>
      <w:r>
        <w:rPr>
          <w:rFonts w:hint="eastAsia" w:ascii="仿宋_GB2312" w:hAnsi="仿宋_GB2312" w:eastAsia="仿宋_GB2312" w:cs="仿宋_GB2312"/>
          <w:sz w:val="36"/>
          <w:szCs w:val="36"/>
          <w:highlight w:val="none"/>
        </w:rPr>
        <w:t>采购。</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黑体" w:hAnsi="黑体" w:eastAsia="黑体" w:cs="黑体"/>
          <w:sz w:val="36"/>
          <w:szCs w:val="36"/>
          <w:highlight w:val="none"/>
        </w:rPr>
      </w:pPr>
      <w:r>
        <w:rPr>
          <w:rFonts w:hint="eastAsia" w:ascii="黑体" w:hAnsi="黑体" w:eastAsia="黑体" w:cs="黑体"/>
          <w:sz w:val="36"/>
          <w:szCs w:val="36"/>
          <w:highlight w:val="none"/>
        </w:rPr>
        <w:t>二、采购范围</w:t>
      </w:r>
    </w:p>
    <w:p>
      <w:pPr>
        <w:tabs>
          <w:tab w:val="left" w:pos="312"/>
        </w:tabs>
        <w:spacing w:line="540" w:lineRule="exact"/>
        <w:ind w:firstLine="704" w:firstLineChars="200"/>
        <w:rPr>
          <w:rFonts w:ascii="仿宋_GB2312" w:hAnsi="仿宋_GB2312" w:eastAsia="仿宋_GB2312" w:cs="仿宋_GB2312"/>
          <w:sz w:val="36"/>
          <w:szCs w:val="36"/>
          <w:highlight w:val="none"/>
        </w:rPr>
      </w:pPr>
      <w:r>
        <w:rPr>
          <w:rFonts w:hint="eastAsia" w:ascii="仿宋_GB2312" w:hAnsi="仿宋_GB2312" w:eastAsia="仿宋_GB2312" w:cs="仿宋_GB2312"/>
          <w:color w:val="auto"/>
          <w:spacing w:val="-4"/>
          <w:sz w:val="36"/>
          <w:szCs w:val="36"/>
          <w:lang w:eastAsia="zh-CN"/>
        </w:rPr>
        <w:t>淮北矿业股份有限公司一批矿用螺杆式泥浆泵、离心泥浆泵主要</w:t>
      </w:r>
      <w:r>
        <w:rPr>
          <w:rFonts w:hint="eastAsia" w:ascii="仿宋_GB2312" w:hAnsi="仿宋_GB2312" w:eastAsia="仿宋_GB2312" w:cs="仿宋_GB2312"/>
          <w:color w:val="auto"/>
          <w:spacing w:val="-4"/>
          <w:sz w:val="36"/>
          <w:szCs w:val="36"/>
          <w:lang w:val="en-US" w:eastAsia="zh-CN"/>
        </w:rPr>
        <w:t>应用于煤矿井下污水清理</w:t>
      </w:r>
      <w:r>
        <w:rPr>
          <w:rFonts w:hint="eastAsia" w:ascii="仿宋_GB2312" w:hAnsi="仿宋_GB2312" w:eastAsia="仿宋_GB2312" w:cs="仿宋_GB2312"/>
          <w:color w:val="auto"/>
          <w:spacing w:val="-4"/>
          <w:sz w:val="36"/>
          <w:szCs w:val="36"/>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sz w:val="36"/>
          <w:szCs w:val="36"/>
          <w:highlight w:val="none"/>
          <w:lang w:val="en-US" w:eastAsia="zh-CN"/>
        </w:rPr>
      </w:pPr>
      <w:r>
        <w:rPr>
          <w:rFonts w:hint="eastAsia" w:ascii="仿宋_GB2312" w:hAnsi="仿宋_GB2312" w:eastAsia="仿宋_GB2312" w:cs="仿宋_GB2312"/>
          <w:color w:val="auto"/>
          <w:sz w:val="36"/>
          <w:szCs w:val="36"/>
          <w:highlight w:val="none"/>
        </w:rPr>
        <w:t>采购数量：</w:t>
      </w:r>
      <w:r>
        <w:rPr>
          <w:rFonts w:hint="eastAsia" w:ascii="仿宋_GB2312" w:hAnsi="仿宋_GB2312" w:eastAsia="仿宋_GB2312" w:cs="仿宋_GB2312"/>
          <w:sz w:val="36"/>
          <w:szCs w:val="36"/>
          <w:lang w:bidi="ar"/>
        </w:rPr>
        <w:t>按技术规格书要求</w:t>
      </w:r>
      <w:r>
        <w:rPr>
          <w:rFonts w:hint="eastAsia" w:ascii="仿宋_GB2312" w:hAnsi="仿宋_GB2312" w:eastAsia="仿宋_GB2312" w:cs="仿宋_GB2312"/>
          <w:sz w:val="36"/>
          <w:szCs w:val="36"/>
          <w:lang w:eastAsia="zh-CN" w:bidi="ar"/>
        </w:rPr>
        <w:t>。</w:t>
      </w:r>
    </w:p>
    <w:p>
      <w:pPr>
        <w:pStyle w:val="21"/>
        <w:spacing w:line="540" w:lineRule="exact"/>
        <w:ind w:firstLine="640"/>
        <w:rPr>
          <w:rFonts w:hint="eastAsia"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交货日期：</w:t>
      </w:r>
      <w:r>
        <w:rPr>
          <w:rFonts w:hint="eastAsia" w:ascii="仿宋_GB2312" w:hAnsi="仿宋_GB2312" w:eastAsia="仿宋_GB2312" w:cs="仿宋_GB2312"/>
          <w:sz w:val="36"/>
          <w:szCs w:val="36"/>
          <w:lang w:bidi="ar"/>
        </w:rPr>
        <w:t>按技术规格书要求</w:t>
      </w:r>
      <w:r>
        <w:rPr>
          <w:rFonts w:hint="eastAsia" w:ascii="Times New Roman" w:hAnsi="Times New Roman" w:eastAsia="仿宋_GB2312" w:cs="仿宋_GB2312"/>
          <w:color w:val="000000"/>
          <w:sz w:val="36"/>
          <w:szCs w:val="36"/>
        </w:rPr>
        <w:t>。</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交货地点：</w:t>
      </w:r>
      <w:r>
        <w:rPr>
          <w:rFonts w:hint="eastAsia" w:ascii="仿宋_GB2312" w:hAnsi="仿宋_GB2312" w:eastAsia="仿宋_GB2312" w:cs="仿宋_GB2312"/>
          <w:sz w:val="36"/>
          <w:szCs w:val="36"/>
          <w:lang w:bidi="ar"/>
        </w:rPr>
        <w:t>按技术规格书要求</w:t>
      </w:r>
      <w:r>
        <w:rPr>
          <w:rFonts w:hint="eastAsia" w:ascii="仿宋_GB2312" w:hAnsi="仿宋_GB2312" w:eastAsia="仿宋_GB2312" w:cs="仿宋_GB2312"/>
          <w:color w:val="auto"/>
          <w:sz w:val="36"/>
          <w:szCs w:val="36"/>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黑体" w:hAnsi="黑体" w:eastAsia="黑体" w:cs="黑体"/>
          <w:sz w:val="36"/>
          <w:szCs w:val="36"/>
          <w:highlight w:val="none"/>
        </w:rPr>
      </w:pPr>
      <w:r>
        <w:rPr>
          <w:rFonts w:hint="eastAsia" w:ascii="黑体" w:hAnsi="黑体" w:eastAsia="黑体" w:cs="黑体"/>
          <w:sz w:val="36"/>
          <w:szCs w:val="36"/>
          <w:highlight w:val="none"/>
        </w:rPr>
        <w:t>三、供应商资格要求</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lang w:val="en-US" w:eastAsia="zh-CN"/>
        </w:rPr>
        <w:t>响应供应商</w:t>
      </w:r>
      <w:r>
        <w:rPr>
          <w:rFonts w:hint="eastAsia" w:ascii="仿宋_GB2312" w:hAnsi="仿宋_GB2312" w:eastAsia="仿宋_GB2312" w:cs="仿宋_GB2312"/>
          <w:sz w:val="36"/>
          <w:szCs w:val="36"/>
          <w:highlight w:val="none"/>
        </w:rPr>
        <w:t>应具备承担本</w:t>
      </w:r>
      <w:r>
        <w:rPr>
          <w:rFonts w:hint="eastAsia" w:ascii="仿宋_GB2312" w:hAnsi="仿宋_GB2312" w:eastAsia="仿宋_GB2312" w:cs="仿宋_GB2312"/>
          <w:sz w:val="36"/>
          <w:szCs w:val="36"/>
          <w:highlight w:val="none"/>
          <w:lang w:val="en-US" w:eastAsia="zh-CN"/>
        </w:rPr>
        <w:t>采购</w:t>
      </w:r>
      <w:r>
        <w:rPr>
          <w:rFonts w:hint="eastAsia" w:ascii="仿宋_GB2312" w:hAnsi="仿宋_GB2312" w:eastAsia="仿宋_GB2312" w:cs="仿宋_GB2312"/>
          <w:sz w:val="36"/>
          <w:szCs w:val="36"/>
          <w:highlight w:val="none"/>
        </w:rPr>
        <w:t>项目资质条件、能力和信誉。资格要求包括以下内容:</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（一）</w:t>
      </w:r>
      <w:r>
        <w:rPr>
          <w:rFonts w:hint="eastAsia" w:ascii="仿宋_GB2312" w:hAnsi="仿宋_GB2312" w:eastAsia="仿宋_GB2312" w:cs="仿宋_GB2312"/>
          <w:sz w:val="36"/>
          <w:szCs w:val="36"/>
          <w:highlight w:val="none"/>
          <w:lang w:val="en-US" w:eastAsia="zh-CN"/>
        </w:rPr>
        <w:t>响应供应商</w:t>
      </w:r>
      <w:r>
        <w:rPr>
          <w:rFonts w:hint="eastAsia" w:ascii="仿宋_GB2312" w:hAnsi="仿宋_GB2312" w:eastAsia="仿宋_GB2312" w:cs="仿宋_GB2312"/>
          <w:sz w:val="36"/>
          <w:szCs w:val="36"/>
          <w:highlight w:val="none"/>
        </w:rPr>
        <w:t>须为依法注册的独立法人或其他组织，须提供有效的证明文件。</w:t>
      </w:r>
    </w:p>
    <w:p>
      <w:pPr>
        <w:spacing w:line="560" w:lineRule="atLeast"/>
        <w:ind w:firstLine="720" w:firstLineChars="200"/>
        <w:rPr>
          <w:rFonts w:hint="eastAsia"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（二）资质要求：</w:t>
      </w:r>
      <w:bookmarkStart w:id="0" w:name="OLE_LINK2"/>
      <w:bookmarkStart w:id="1" w:name="OLE_LINK1"/>
      <w:r>
        <w:rPr>
          <w:rFonts w:hint="eastAsia" w:ascii="仿宋_GB2312" w:hAnsi="仿宋_GB2312" w:eastAsia="仿宋_GB2312" w:cs="仿宋_GB2312"/>
          <w:sz w:val="36"/>
          <w:szCs w:val="36"/>
        </w:rPr>
        <w:t>必须是</w:t>
      </w:r>
      <w:r>
        <w:rPr>
          <w:rFonts w:hint="eastAsia" w:ascii="仿宋_GB2312" w:hAnsi="宋体" w:eastAsia="仿宋_GB2312"/>
          <w:color w:val="000000"/>
          <w:sz w:val="36"/>
          <w:szCs w:val="36"/>
        </w:rPr>
        <w:t>标的物</w:t>
      </w:r>
      <w:r>
        <w:rPr>
          <w:rFonts w:hint="eastAsia" w:ascii="仿宋_GB2312" w:hAnsi="仿宋_GB2312" w:eastAsia="仿宋_GB2312" w:cs="仿宋_GB2312"/>
          <w:sz w:val="36"/>
          <w:szCs w:val="36"/>
        </w:rPr>
        <w:t>设备生产制造商</w:t>
      </w:r>
      <w:r>
        <w:rPr>
          <w:rFonts w:hint="eastAsia" w:ascii="仿宋_GB2312" w:hAnsi="宋体" w:eastAsia="仿宋_GB2312" w:cs="仿宋_GB2312"/>
          <w:color w:val="000000"/>
          <w:sz w:val="36"/>
          <w:szCs w:val="36"/>
          <w:lang w:bidi="ar"/>
        </w:rPr>
        <w:t>，需持有有效的矿用产品安全标志证书。</w:t>
      </w:r>
      <w:bookmarkEnd w:id="0"/>
      <w:bookmarkEnd w:id="1"/>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sz w:val="36"/>
          <w:szCs w:val="36"/>
          <w:highlight w:val="none"/>
          <w:lang w:eastAsia="zh-CN"/>
        </w:rPr>
      </w:pPr>
      <w:r>
        <w:rPr>
          <w:rFonts w:hint="eastAsia" w:ascii="仿宋_GB2312" w:hAnsi="仿宋_GB2312" w:eastAsia="仿宋_GB2312" w:cs="仿宋_GB2312"/>
          <w:sz w:val="36"/>
          <w:szCs w:val="36"/>
          <w:highlight w:val="none"/>
        </w:rPr>
        <w:t>（三）业绩要求</w:t>
      </w:r>
      <w:r>
        <w:rPr>
          <w:rFonts w:hint="eastAsia" w:ascii="仿宋_GB2312" w:hAnsi="仿宋_GB2312" w:eastAsia="仿宋_GB2312" w:cs="仿宋_GB2312"/>
          <w:sz w:val="36"/>
          <w:szCs w:val="36"/>
          <w:highlight w:val="none"/>
          <w:lang w:eastAsia="zh-CN"/>
        </w:rPr>
        <w:t>：</w:t>
      </w:r>
      <w:r>
        <w:rPr>
          <w:rFonts w:hint="eastAsia" w:ascii="仿宋_GB2312" w:hAnsi="仿宋_GB2312" w:eastAsia="仿宋_GB2312" w:cs="仿宋_GB2312"/>
          <w:sz w:val="36"/>
          <w:szCs w:val="36"/>
          <w:highlight w:val="none"/>
        </w:rPr>
        <w:t>需提供同类物资销售业绩。</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（四）信誉要求：当期未被列入淮北矿业（集团）有限责任公司“停用、禁用名单”“黑名单”。</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（五）本次</w:t>
      </w:r>
      <w:r>
        <w:rPr>
          <w:rFonts w:hint="eastAsia" w:ascii="仿宋_GB2312" w:hAnsi="仿宋_GB2312" w:eastAsia="仿宋_GB2312" w:cs="仿宋_GB2312"/>
          <w:sz w:val="36"/>
          <w:szCs w:val="36"/>
          <w:highlight w:val="none"/>
          <w:lang w:val="en-US" w:eastAsia="zh-CN"/>
        </w:rPr>
        <w:t>采购</w:t>
      </w:r>
      <w:r>
        <w:rPr>
          <w:rFonts w:hint="eastAsia" w:ascii="仿宋_GB2312" w:hAnsi="仿宋_GB2312" w:eastAsia="仿宋_GB2312" w:cs="仿宋_GB2312"/>
          <w:sz w:val="36"/>
          <w:szCs w:val="36"/>
          <w:highlight w:val="none"/>
        </w:rPr>
        <w:t>不接受联合体</w:t>
      </w:r>
      <w:r>
        <w:rPr>
          <w:rFonts w:hint="eastAsia" w:ascii="仿宋_GB2312" w:hAnsi="仿宋_GB2312" w:eastAsia="仿宋_GB2312" w:cs="仿宋_GB2312"/>
          <w:sz w:val="36"/>
          <w:szCs w:val="36"/>
          <w:highlight w:val="none"/>
          <w:lang w:val="en-US" w:eastAsia="zh-CN"/>
        </w:rPr>
        <w:t>响应</w:t>
      </w:r>
      <w:r>
        <w:rPr>
          <w:rFonts w:hint="eastAsia" w:ascii="仿宋_GB2312" w:hAnsi="仿宋_GB2312" w:eastAsia="仿宋_GB2312" w:cs="仿宋_GB2312"/>
          <w:sz w:val="36"/>
          <w:szCs w:val="36"/>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（六）法律法规或投标人须知规定的其他条件。</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黑体" w:hAnsi="黑体" w:eastAsia="黑体" w:cs="黑体"/>
          <w:sz w:val="36"/>
          <w:szCs w:val="36"/>
          <w:highlight w:val="none"/>
        </w:rPr>
      </w:pPr>
      <w:r>
        <w:rPr>
          <w:rFonts w:hint="eastAsia" w:ascii="黑体" w:hAnsi="黑体" w:eastAsia="黑体" w:cs="黑体"/>
          <w:sz w:val="36"/>
          <w:szCs w:val="36"/>
          <w:highlight w:val="none"/>
          <w:lang w:val="en-US" w:eastAsia="zh-CN"/>
        </w:rPr>
        <w:t>四</w:t>
      </w:r>
      <w:r>
        <w:rPr>
          <w:rFonts w:hint="eastAsia" w:ascii="黑体" w:hAnsi="黑体" w:eastAsia="黑体" w:cs="黑体"/>
          <w:sz w:val="36"/>
          <w:szCs w:val="36"/>
          <w:highlight w:val="none"/>
        </w:rPr>
        <w:t>、递交文件的截止时间、方式</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本项目采用密封线下递交纸质响应文件（含U盘存储的电子文本</w:t>
      </w:r>
      <w:r>
        <w:rPr>
          <w:rFonts w:hint="eastAsia" w:ascii="仿宋_GB2312" w:hAnsi="仿宋_GB2312" w:eastAsia="仿宋_GB2312" w:cs="仿宋_GB2312"/>
          <w:sz w:val="36"/>
          <w:szCs w:val="36"/>
          <w:highlight w:val="none"/>
          <w:lang w:eastAsia="zh-CN"/>
        </w:rPr>
        <w:t>，</w:t>
      </w:r>
      <w:r>
        <w:rPr>
          <w:rFonts w:hint="eastAsia" w:ascii="仿宋_GB2312" w:hAnsi="仿宋_GB2312" w:eastAsia="仿宋_GB2312" w:cs="仿宋_GB2312"/>
          <w:sz w:val="36"/>
          <w:szCs w:val="36"/>
          <w:highlight w:val="none"/>
          <w:lang w:val="en-US" w:eastAsia="zh-CN"/>
        </w:rPr>
        <w:t>纸质响应文件1个正本、5个副本</w:t>
      </w:r>
      <w:r>
        <w:rPr>
          <w:rFonts w:hint="eastAsia" w:ascii="仿宋_GB2312" w:hAnsi="仿宋_GB2312" w:eastAsia="仿宋_GB2312" w:cs="仿宋_GB2312"/>
          <w:sz w:val="36"/>
          <w:szCs w:val="36"/>
          <w:highlight w:val="none"/>
        </w:rPr>
        <w:t>）的方式。</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响应文件递交的截止时间为</w:t>
      </w:r>
      <w:r>
        <w:rPr>
          <w:rFonts w:hint="eastAsia" w:ascii="仿宋_GB2312" w:hAnsi="仿宋_GB2312" w:eastAsia="仿宋_GB2312" w:cs="仿宋_GB2312"/>
          <w:color w:val="auto"/>
          <w:sz w:val="36"/>
          <w:szCs w:val="36"/>
          <w:highlight w:val="none"/>
        </w:rPr>
        <w:t>202</w:t>
      </w:r>
      <w:r>
        <w:rPr>
          <w:rFonts w:hint="eastAsia" w:ascii="仿宋_GB2312" w:hAnsi="仿宋_GB2312" w:eastAsia="仿宋_GB2312" w:cs="仿宋_GB2312"/>
          <w:color w:val="auto"/>
          <w:sz w:val="36"/>
          <w:szCs w:val="36"/>
          <w:highlight w:val="none"/>
          <w:lang w:val="en-US" w:eastAsia="zh-CN"/>
        </w:rPr>
        <w:t>6</w:t>
      </w:r>
      <w:r>
        <w:rPr>
          <w:rFonts w:hint="eastAsia" w:ascii="仿宋_GB2312" w:hAnsi="仿宋_GB2312" w:eastAsia="仿宋_GB2312" w:cs="仿宋_GB2312"/>
          <w:color w:val="auto"/>
          <w:sz w:val="36"/>
          <w:szCs w:val="36"/>
          <w:highlight w:val="none"/>
        </w:rPr>
        <w:t>年</w:t>
      </w:r>
      <w:r>
        <w:rPr>
          <w:rFonts w:hint="eastAsia" w:ascii="仿宋_GB2312" w:hAnsi="仿宋_GB2312" w:eastAsia="仿宋_GB2312" w:cs="仿宋_GB2312"/>
          <w:color w:val="auto"/>
          <w:sz w:val="36"/>
          <w:szCs w:val="36"/>
          <w:highlight w:val="none"/>
          <w:lang w:val="en-US" w:eastAsia="zh-CN"/>
        </w:rPr>
        <w:t>11</w:t>
      </w:r>
      <w:r>
        <w:rPr>
          <w:rFonts w:hint="eastAsia" w:ascii="仿宋_GB2312" w:hAnsi="仿宋_GB2312" w:eastAsia="仿宋_GB2312" w:cs="仿宋_GB2312"/>
          <w:color w:val="auto"/>
          <w:sz w:val="36"/>
          <w:szCs w:val="36"/>
          <w:highlight w:val="none"/>
        </w:rPr>
        <w:t>月</w:t>
      </w:r>
      <w:r>
        <w:rPr>
          <w:rFonts w:hint="eastAsia" w:ascii="仿宋_GB2312" w:hAnsi="仿宋_GB2312" w:eastAsia="仿宋_GB2312" w:cs="仿宋_GB2312"/>
          <w:color w:val="auto"/>
          <w:sz w:val="36"/>
          <w:szCs w:val="36"/>
          <w:highlight w:val="none"/>
          <w:lang w:val="en-US" w:eastAsia="zh-CN"/>
        </w:rPr>
        <w:t>3</w:t>
      </w:r>
      <w:r>
        <w:rPr>
          <w:rFonts w:hint="eastAsia" w:ascii="仿宋_GB2312" w:hAnsi="仿宋_GB2312" w:eastAsia="仿宋_GB2312" w:cs="仿宋_GB2312"/>
          <w:color w:val="auto"/>
          <w:sz w:val="36"/>
          <w:szCs w:val="36"/>
          <w:highlight w:val="none"/>
        </w:rPr>
        <w:t>日</w:t>
      </w:r>
      <w:r>
        <w:rPr>
          <w:rFonts w:hint="eastAsia" w:ascii="仿宋_GB2312" w:hAnsi="仿宋_GB2312" w:eastAsia="仿宋_GB2312" w:cs="仿宋_GB2312"/>
          <w:color w:val="auto"/>
          <w:sz w:val="36"/>
          <w:szCs w:val="36"/>
          <w:highlight w:val="none"/>
          <w:lang w:val="en-US" w:eastAsia="zh-CN"/>
        </w:rPr>
        <w:t>9</w:t>
      </w:r>
      <w:r>
        <w:rPr>
          <w:rFonts w:hint="eastAsia" w:ascii="仿宋_GB2312" w:hAnsi="仿宋_GB2312" w:eastAsia="仿宋_GB2312" w:cs="仿宋_GB2312"/>
          <w:color w:val="auto"/>
          <w:sz w:val="36"/>
          <w:szCs w:val="36"/>
          <w:highlight w:val="none"/>
        </w:rPr>
        <w:t>时</w:t>
      </w:r>
      <w:r>
        <w:rPr>
          <w:rFonts w:hint="eastAsia" w:ascii="仿宋_GB2312" w:hAnsi="仿宋_GB2312" w:eastAsia="仿宋_GB2312" w:cs="仿宋_GB2312"/>
          <w:color w:val="auto"/>
          <w:sz w:val="36"/>
          <w:szCs w:val="36"/>
          <w:highlight w:val="none"/>
          <w:lang w:val="en-US" w:eastAsia="zh-CN"/>
        </w:rPr>
        <w:t>00</w:t>
      </w:r>
      <w:r>
        <w:rPr>
          <w:rFonts w:hint="eastAsia" w:ascii="仿宋_GB2312" w:hAnsi="仿宋_GB2312" w:eastAsia="仿宋_GB2312" w:cs="仿宋_GB2312"/>
          <w:color w:val="auto"/>
          <w:sz w:val="36"/>
          <w:szCs w:val="36"/>
          <w:highlight w:val="none"/>
        </w:rPr>
        <w:t>分</w:t>
      </w:r>
      <w:r>
        <w:rPr>
          <w:rFonts w:hint="eastAsia" w:ascii="仿宋_GB2312" w:hAnsi="仿宋_GB2312" w:eastAsia="仿宋_GB2312" w:cs="仿宋_GB2312"/>
          <w:sz w:val="36"/>
          <w:szCs w:val="36"/>
          <w:highlight w:val="none"/>
        </w:rPr>
        <w:t>，地点为安徽省淮北市相山区人民中路276号东7楼会议室。</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逾期送达的、未送达指定地点的或者未密封的线下纸质响应文件，采购人将予以拒收。</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黑体" w:hAnsi="黑体" w:eastAsia="黑体" w:cs="黑体"/>
          <w:sz w:val="36"/>
          <w:szCs w:val="36"/>
          <w:highlight w:val="none"/>
        </w:rPr>
      </w:pPr>
      <w:r>
        <w:rPr>
          <w:rFonts w:hint="eastAsia" w:ascii="黑体" w:hAnsi="黑体" w:eastAsia="黑体" w:cs="黑体"/>
          <w:sz w:val="36"/>
          <w:szCs w:val="36"/>
          <w:highlight w:val="none"/>
          <w:lang w:val="en-US" w:eastAsia="zh-CN"/>
        </w:rPr>
        <w:t>五</w:t>
      </w:r>
      <w:r>
        <w:rPr>
          <w:rFonts w:hint="eastAsia" w:ascii="黑体" w:hAnsi="黑体" w:eastAsia="黑体" w:cs="黑体"/>
          <w:sz w:val="36"/>
          <w:szCs w:val="36"/>
          <w:highlight w:val="none"/>
        </w:rPr>
        <w:t>、联系方式</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仿宋_GB2312" w:hAnsi="仿宋_GB2312" w:eastAsia="仿宋_GB2312" w:cs="仿宋_GB2312"/>
          <w:sz w:val="36"/>
          <w:szCs w:val="36"/>
          <w:highlight w:val="none"/>
        </w:rPr>
      </w:pPr>
      <w:r>
        <w:rPr>
          <w:rFonts w:hint="eastAsia" w:ascii="仿宋_GB2312" w:hAnsi="仿宋_GB2312" w:eastAsia="仿宋_GB2312" w:cs="仿宋_GB2312"/>
          <w:sz w:val="36"/>
          <w:szCs w:val="36"/>
          <w:highlight w:val="none"/>
        </w:rPr>
        <w:t>采购人：淮北矿业股份有限公司</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default" w:ascii="仿宋_GB2312" w:hAnsi="仿宋_GB2312" w:eastAsia="仿宋_GB2312" w:cs="仿宋_GB2312"/>
          <w:sz w:val="36"/>
          <w:szCs w:val="36"/>
          <w:highlight w:val="none"/>
          <w:lang w:val="en-US" w:eastAsia="zh-CN"/>
        </w:rPr>
      </w:pPr>
      <w:r>
        <w:rPr>
          <w:rFonts w:hint="eastAsia" w:ascii="仿宋_GB2312" w:hAnsi="仿宋_GB2312" w:eastAsia="仿宋_GB2312" w:cs="仿宋_GB2312"/>
          <w:sz w:val="36"/>
          <w:szCs w:val="36"/>
          <w:highlight w:val="none"/>
        </w:rPr>
        <w:t>联系人：</w:t>
      </w:r>
      <w:r>
        <w:rPr>
          <w:rFonts w:hint="eastAsia" w:ascii="仿宋_GB2312" w:hAnsi="仿宋_GB2312" w:eastAsia="仿宋_GB2312" w:cs="仿宋_GB2312"/>
          <w:sz w:val="36"/>
          <w:szCs w:val="36"/>
          <w:highlight w:val="none"/>
          <w:lang w:val="en-US" w:eastAsia="zh-CN"/>
        </w:rPr>
        <w:t>罗女士</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default" w:ascii="仿宋_GB2312" w:hAnsi="仿宋_GB2312" w:eastAsia="仿宋_GB2312" w:cs="仿宋_GB2312"/>
          <w:sz w:val="36"/>
          <w:szCs w:val="36"/>
          <w:highlight w:val="none"/>
          <w:lang w:val="en-US" w:eastAsia="zh-CN"/>
        </w:rPr>
      </w:pPr>
      <w:r>
        <w:rPr>
          <w:rFonts w:hint="eastAsia" w:ascii="仿宋_GB2312" w:hAnsi="仿宋_GB2312" w:eastAsia="仿宋_GB2312" w:cs="仿宋_GB2312"/>
          <w:sz w:val="36"/>
          <w:szCs w:val="36"/>
          <w:highlight w:val="none"/>
        </w:rPr>
        <w:t>电话：0561-</w:t>
      </w:r>
      <w:r>
        <w:rPr>
          <w:rFonts w:hint="eastAsia" w:ascii="仿宋_GB2312" w:hAnsi="仿宋_GB2312" w:eastAsia="仿宋_GB2312" w:cs="仿宋_GB2312"/>
          <w:sz w:val="36"/>
          <w:szCs w:val="36"/>
          <w:highlight w:val="none"/>
          <w:lang w:val="en-US" w:eastAsia="zh-CN"/>
        </w:rPr>
        <w:t>4958089</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default"/>
          <w:b/>
          <w:bCs/>
          <w:spacing w:val="-4"/>
          <w:sz w:val="36"/>
          <w:szCs w:val="36"/>
          <w:highlight w:val="none"/>
        </w:rPr>
      </w:pPr>
      <w:r>
        <w:rPr>
          <w:rFonts w:hint="eastAsia" w:ascii="仿宋_GB2312" w:hAnsi="仿宋_GB2312" w:eastAsia="仿宋_GB2312" w:cs="仿宋_GB2312"/>
          <w:sz w:val="36"/>
          <w:szCs w:val="36"/>
          <w:highlight w:val="none"/>
        </w:rPr>
        <w:t>地址：安徽省淮北市相山区人民中路276号</w:t>
      </w:r>
      <w:bookmarkEnd w:id="2"/>
    </w:p>
    <w:p>
      <w:pPr>
        <w:keepNext w:val="0"/>
        <w:keepLines w:val="0"/>
        <w:pageBreakBefore w:val="0"/>
        <w:wordWrap/>
        <w:overflowPunct/>
        <w:topLinePunct w:val="0"/>
        <w:bidi w:val="0"/>
        <w:spacing w:line="560" w:lineRule="exact"/>
        <w:textAlignment w:val="auto"/>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第二章 供应商须知</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一、项目概况</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本采购项目已列入淮北矿业股份有限公司计划中，资金渠道已落实。</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color w:val="FF0000"/>
          <w:sz w:val="32"/>
          <w:szCs w:val="32"/>
          <w:highlight w:val="none"/>
        </w:rPr>
      </w:pPr>
      <w:r>
        <w:rPr>
          <w:rFonts w:hint="eastAsia" w:ascii="仿宋_GB2312" w:hAnsi="仿宋_GB2312" w:eastAsia="仿宋_GB2312" w:cs="仿宋_GB2312"/>
          <w:color w:val="auto"/>
          <w:sz w:val="32"/>
          <w:szCs w:val="32"/>
          <w:highlight w:val="none"/>
        </w:rPr>
        <w:t>本</w:t>
      </w:r>
      <w:r>
        <w:rPr>
          <w:rFonts w:hint="eastAsia" w:ascii="仿宋_GB2312" w:hAnsi="仿宋_GB2312" w:eastAsia="仿宋_GB2312" w:cs="仿宋_GB2312"/>
          <w:color w:val="auto"/>
          <w:sz w:val="32"/>
          <w:szCs w:val="32"/>
          <w:highlight w:val="none"/>
          <w:lang w:val="en-US" w:eastAsia="zh-CN"/>
        </w:rPr>
        <w:t>次直接</w:t>
      </w:r>
      <w:r>
        <w:rPr>
          <w:rFonts w:hint="eastAsia" w:ascii="仿宋_GB2312" w:hAnsi="仿宋_GB2312" w:eastAsia="仿宋_GB2312" w:cs="仿宋_GB2312"/>
          <w:color w:val="auto"/>
          <w:sz w:val="32"/>
          <w:szCs w:val="32"/>
          <w:highlight w:val="none"/>
        </w:rPr>
        <w:t>采购具体采购</w:t>
      </w:r>
      <w:r>
        <w:rPr>
          <w:rFonts w:hint="eastAsia" w:ascii="仿宋_GB2312" w:hAnsi="仿宋_GB2312" w:eastAsia="仿宋_GB2312" w:cs="仿宋_GB2312"/>
          <w:color w:val="auto"/>
          <w:sz w:val="32"/>
          <w:szCs w:val="32"/>
          <w:highlight w:val="none"/>
          <w:lang w:val="en-US" w:eastAsia="zh-CN"/>
        </w:rPr>
        <w:t>内容</w:t>
      </w:r>
      <w:r>
        <w:rPr>
          <w:rFonts w:hint="eastAsia" w:ascii="仿宋_GB2312" w:hAnsi="仿宋_GB2312" w:eastAsia="仿宋_GB2312" w:cs="仿宋_GB2312"/>
          <w:color w:val="auto"/>
          <w:sz w:val="32"/>
          <w:szCs w:val="32"/>
          <w:highlight w:val="none"/>
        </w:rPr>
        <w:t>及技术要求详见第四章。</w:t>
      </w:r>
    </w:p>
    <w:p>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二、供应商须知</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(一)一般事项</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应遵守国家有关法律法规及条例，认真阅读</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文件，按照</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文件要求，对</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文件作出实质性响应，否则</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参与资格</w:t>
      </w:r>
      <w:r>
        <w:rPr>
          <w:rFonts w:hint="eastAsia" w:ascii="仿宋_GB2312" w:hAnsi="仿宋_GB2312" w:eastAsia="仿宋_GB2312" w:cs="仿宋_GB2312"/>
          <w:sz w:val="32"/>
          <w:szCs w:val="32"/>
          <w:highlight w:val="none"/>
        </w:rPr>
        <w:t>将被否决。</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2.本次</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物资为年度集中采购，</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报价时应充分考虑市场因素带来的价格变化风险，合理进行报价，并需在</w:t>
      </w:r>
      <w:r>
        <w:rPr>
          <w:rFonts w:hint="eastAsia" w:ascii="仿宋_GB2312" w:hAnsi="仿宋_GB2312" w:eastAsia="仿宋_GB2312" w:cs="仿宋_GB2312"/>
          <w:sz w:val="32"/>
          <w:szCs w:val="32"/>
          <w:highlight w:val="none"/>
          <w:lang w:val="en-US" w:eastAsia="zh-CN"/>
        </w:rPr>
        <w:t>成交</w:t>
      </w:r>
      <w:r>
        <w:rPr>
          <w:rFonts w:hint="eastAsia" w:ascii="仿宋_GB2312" w:hAnsi="仿宋_GB2312" w:eastAsia="仿宋_GB2312" w:cs="仿宋_GB2312"/>
          <w:sz w:val="32"/>
          <w:szCs w:val="32"/>
          <w:highlight w:val="none"/>
        </w:rPr>
        <w:t>后承担相应履约责任。</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不得存在下列情形之一：</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存在利害关系且可能影响</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公正性。</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（2）与本招标项目的其他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为同一个单位负责人。</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（3）与本</w:t>
      </w:r>
      <w:r>
        <w:rPr>
          <w:rFonts w:hint="eastAsia" w:ascii="仿宋_GB2312" w:hAnsi="仿宋_GB2312" w:eastAsia="仿宋_GB2312" w:cs="仿宋_GB2312"/>
          <w:sz w:val="32"/>
          <w:szCs w:val="32"/>
          <w:highlight w:val="none"/>
          <w:lang w:val="en-US" w:eastAsia="zh-CN"/>
        </w:rPr>
        <w:t>次直接</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存在控股、管理关系。</w:t>
      </w:r>
    </w:p>
    <w:p>
      <w:pPr>
        <w:pStyle w:val="2"/>
        <w:keepNext w:val="0"/>
        <w:keepLines w:val="0"/>
        <w:pageBreakBefore w:val="0"/>
        <w:wordWrap/>
        <w:overflowPunct/>
        <w:topLinePunct w:val="0"/>
        <w:bidi w:val="0"/>
        <w:spacing w:line="560" w:lineRule="exact"/>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 xml:space="preserve">    （4）与本次直接项目其他供应商代理同一个制造商同一品牌同一型号的材料响应。</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）为本</w:t>
      </w:r>
      <w:r>
        <w:rPr>
          <w:rFonts w:hint="eastAsia" w:ascii="仿宋_GB2312" w:hAnsi="仿宋_GB2312" w:eastAsia="仿宋_GB2312" w:cs="仿宋_GB2312"/>
          <w:sz w:val="32"/>
          <w:szCs w:val="32"/>
          <w:highlight w:val="none"/>
          <w:lang w:val="en-US" w:eastAsia="zh-CN"/>
        </w:rPr>
        <w:t>次直接</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项目提供过设计、编制技术规范和其他文件的咨询服务。</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）被依法暂停或者取消</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资格。</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）被责令停产停业、暂扣或者吊销许可证、暂扣或者吊销执照。</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）进入清算程序，或被宣告破产，或其他丧失履约能力的情形。</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）2023年1月1日以来发生重大产品质量问题（以相关行业主管部门的行政处罚决定或司法机关出具的有关法律文书为准）。</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）被工商行政管理机关在全国企业信用信息公示系统中列入严重违法失信企业名单。</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）企业及法定代表人当期不得在“中国执行信息公开网”“国家企业信用信息公示系统”“信用中国”上被列入经营异常目录或失信被执行人名单。</w:t>
      </w:r>
    </w:p>
    <w:p>
      <w:pPr>
        <w:pStyle w:val="2"/>
        <w:keepNext w:val="0"/>
        <w:keepLines w:val="0"/>
        <w:pageBreakBefore w:val="0"/>
        <w:wordWrap/>
        <w:overflowPunct/>
        <w:topLinePunct w:val="0"/>
        <w:bidi w:val="0"/>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（12）2023年1月1日以来供应商或其法定代表人、拟委任的项目负责人有行贿犯罪行为的（以中国裁判文书网查询结果为准）。</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13）</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须知规定的其他情形。</w:t>
      </w:r>
    </w:p>
    <w:p>
      <w:pPr>
        <w:keepNext w:val="0"/>
        <w:keepLines w:val="0"/>
        <w:pageBreakBefore w:val="0"/>
        <w:wordWrap/>
        <w:overflowPunct/>
        <w:topLinePunct w:val="0"/>
        <w:bidi w:val="0"/>
        <w:spacing w:line="560" w:lineRule="exact"/>
        <w:ind w:firstLine="643" w:firstLineChars="200"/>
        <w:textAlignment w:val="auto"/>
        <w:rPr>
          <w:rFonts w:hint="eastAsia"/>
          <w:highlight w:val="none"/>
        </w:rPr>
      </w:pPr>
      <w:r>
        <w:rPr>
          <w:rFonts w:hint="eastAsia" w:ascii="仿宋_GB2312" w:hAnsi="仿宋_GB2312" w:eastAsia="仿宋_GB2312" w:cs="仿宋_GB2312"/>
          <w:b/>
          <w:bCs/>
          <w:sz w:val="32"/>
          <w:szCs w:val="32"/>
          <w:highlight w:val="none"/>
        </w:rPr>
        <w:t>4.</w:t>
      </w:r>
      <w:r>
        <w:rPr>
          <w:rFonts w:hint="eastAsia" w:ascii="仿宋_GB2312" w:hAnsi="仿宋_GB2312" w:eastAsia="仿宋_GB2312" w:cs="仿宋_GB2312"/>
          <w:b/>
          <w:bCs/>
          <w:sz w:val="32"/>
          <w:szCs w:val="32"/>
          <w:highlight w:val="none"/>
          <w:lang w:val="en-US" w:eastAsia="zh-CN"/>
        </w:rPr>
        <w:t>采购</w:t>
      </w:r>
      <w:r>
        <w:rPr>
          <w:rFonts w:hint="eastAsia" w:ascii="仿宋_GB2312" w:hAnsi="仿宋_GB2312" w:eastAsia="仿宋_GB2312" w:cs="仿宋_GB2312"/>
          <w:b/>
          <w:bCs/>
          <w:sz w:val="32"/>
          <w:szCs w:val="32"/>
          <w:highlight w:val="none"/>
        </w:rPr>
        <w:t>文件及技术规格书中标红或加*条款为实质性条件，</w:t>
      </w:r>
      <w:r>
        <w:rPr>
          <w:rFonts w:hint="eastAsia" w:ascii="仿宋_GB2312" w:hAnsi="仿宋_GB2312" w:eastAsia="仿宋_GB2312" w:cs="仿宋_GB2312"/>
          <w:b/>
          <w:bCs/>
          <w:sz w:val="32"/>
          <w:szCs w:val="32"/>
          <w:highlight w:val="none"/>
          <w:lang w:val="en-US" w:eastAsia="zh-CN"/>
        </w:rPr>
        <w:t>供应商</w:t>
      </w:r>
      <w:r>
        <w:rPr>
          <w:rFonts w:hint="eastAsia" w:ascii="仿宋_GB2312" w:hAnsi="仿宋_GB2312" w:eastAsia="仿宋_GB2312" w:cs="仿宋_GB2312"/>
          <w:b/>
          <w:bCs/>
          <w:sz w:val="32"/>
          <w:szCs w:val="32"/>
          <w:highlight w:val="none"/>
        </w:rPr>
        <w:t>必须作出响应，否则按否决</w:t>
      </w:r>
      <w:r>
        <w:rPr>
          <w:rFonts w:hint="eastAsia" w:ascii="仿宋_GB2312" w:hAnsi="仿宋_GB2312" w:eastAsia="仿宋_GB2312" w:cs="仿宋_GB2312"/>
          <w:b/>
          <w:bCs/>
          <w:sz w:val="32"/>
          <w:szCs w:val="32"/>
          <w:highlight w:val="none"/>
          <w:lang w:val="en-US" w:eastAsia="zh-CN"/>
        </w:rPr>
        <w:t>响应</w:t>
      </w:r>
      <w:r>
        <w:rPr>
          <w:rFonts w:hint="eastAsia" w:ascii="仿宋_GB2312" w:hAnsi="仿宋_GB2312" w:eastAsia="仿宋_GB2312" w:cs="仿宋_GB2312"/>
          <w:b/>
          <w:bCs/>
          <w:sz w:val="32"/>
          <w:szCs w:val="32"/>
          <w:highlight w:val="none"/>
        </w:rPr>
        <w:t>处理。</w:t>
      </w:r>
    </w:p>
    <w:p>
      <w:pPr>
        <w:keepNext w:val="0"/>
        <w:keepLines w:val="0"/>
        <w:pageBreakBefore w:val="0"/>
        <w:numPr>
          <w:ilvl w:val="0"/>
          <w:numId w:val="0"/>
        </w:numPr>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（二）采购文件的澄清与说明</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1.任何要求澄清采购文件的响应供应商均应在响应截止时间之前书面提请采购人解释，采购人进行答复。</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购人可以对已发出的采购文件进行必要的澄清或者修改，澄清或者修改的内容可能影响响应文件编制的，响应供应商需书面说明，采购人接到响应供应商书面说明后，应当顺延递交响应文件的截止时间。采购人对此项目的澄清或者修改以及响应供应商的答疑是采购文件的组成部分，与采购文件具有同等效力。</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（三）响应文件要求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1.响应文件应经响应供应商单位盖章</w:t>
      </w:r>
      <w:r>
        <w:rPr>
          <w:rFonts w:hint="eastAsia" w:ascii="仿宋_GB2312" w:hAnsi="仿宋_GB2312" w:eastAsia="仿宋_GB2312" w:cs="仿宋_GB2312"/>
          <w:sz w:val="32"/>
          <w:szCs w:val="32"/>
          <w:highlight w:val="none"/>
          <w:lang w:val="en-US" w:eastAsia="zh-CN"/>
        </w:rPr>
        <w:t>或</w:t>
      </w:r>
      <w:r>
        <w:rPr>
          <w:rFonts w:hint="eastAsia" w:ascii="仿宋_GB2312" w:hAnsi="仿宋_GB2312" w:eastAsia="仿宋_GB2312" w:cs="仿宋_GB2312"/>
          <w:sz w:val="32"/>
          <w:szCs w:val="32"/>
          <w:highlight w:val="none"/>
        </w:rPr>
        <w:t>单位负责人签字。响应供应商应对其响应文件使用的印章和所有资质证书的真实性、合法性负责，并承担法律责任。</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2.响应文件应当对采购文件的实质性要求和条件作出满足性或更有利于采购人的响应，否则，响应文件将被否决。</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应当对</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文件有关物资采购数量、质量、货物包装方式、检验标准和方法、主要合同条款等实质性内容作出响应。</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3.供应商应根据采购文件的要求提供本次采购物资的技术性能指标的详细描述、技术支持资料及技术服务和质保期服务计划等内容以对采购文件作出响应。</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4.采购文件中应针对实质性要求和条件中列明的技术要求提供技术支持资料。技术支持资料以公开发布的印刷资料、检测机构出具的检测报告或采购人允许的其他形式为准，不符合前述要求的，视为无技术支持资料，其响应将被否决。</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.响应文件中有编制格式的部分，参照采购文件第三章规定的格式编制。本章未提供格式的部分，</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应自行拟定，但内容须完整、清晰，并符合</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文件的其他要求。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.响应供应商应保证响应文件及资料均未侵犯他人的知识产权和商业秘密，否则响应供应商必须承担由此引起的全部法律责任和经济责任。</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.若响应供应商使用了他人的专利、专有技术，涉及的费用由响应供应商负责。</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.采购人不接受响应供应商对任何未办理正常进口手续的非中华人民共和国境内生产的货物的报价。</w:t>
      </w:r>
    </w:p>
    <w:p>
      <w:pPr>
        <w:keepNext w:val="0"/>
        <w:keepLines w:val="0"/>
        <w:pageBreakBefore w:val="0"/>
        <w:wordWrap/>
        <w:overflowPunct/>
        <w:topLinePunct w:val="0"/>
        <w:bidi w:val="0"/>
        <w:spacing w:line="560" w:lineRule="exact"/>
        <w:ind w:firstLine="640" w:firstLineChars="200"/>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.响应文件对采购文件的全部偏差，均应在响应文件的商务和技术偏差表中列明，除列明的内容外，视为响应采购文件的全部要求。</w:t>
      </w:r>
    </w:p>
    <w:p>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三、响应文件的开启、谈判与评审</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（一）开启</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1.开启时间和地点</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采购人在采购文件规定的响应截止时间和开启地点进行开启响应文件，如有变动在淮北矿业电子商务采购平台发布，响应供应商自行关注。</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2.开启方式</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rPr>
        <w:t>采购采用现场谈判的方式开启响应文件，响应供应商需安排人员到达谈判现场</w:t>
      </w:r>
      <w:r>
        <w:rPr>
          <w:rFonts w:hint="eastAsia" w:ascii="仿宋_GB2312" w:hAnsi="仿宋_GB2312" w:eastAsia="仿宋_GB2312" w:cs="仿宋_GB2312"/>
          <w:sz w:val="32"/>
          <w:szCs w:val="32"/>
          <w:highlight w:val="none"/>
          <w:lang w:val="en-US" w:eastAsia="zh-CN"/>
        </w:rPr>
        <w:t>或视频谈判</w:t>
      </w:r>
      <w:r>
        <w:rPr>
          <w:rFonts w:hint="eastAsia" w:ascii="仿宋_GB2312" w:hAnsi="仿宋_GB2312" w:eastAsia="仿宋_GB2312" w:cs="仿宋_GB2312"/>
          <w:sz w:val="32"/>
          <w:szCs w:val="32"/>
          <w:highlight w:val="none"/>
        </w:rPr>
        <w:t>。</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（二）谈判及初步评审</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（1）采购人将组建谈判小组，谈判小组由</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人组成。</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（2）谈判小组成员有下列情形之一的，应当回避：</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①响应供应商主要负责人或响应供应商主要负责人的近亲属；</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②与响应供应商有经济利益或其他利害关系，可能影响公正评审的。</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（3）在谈判和评审过程中，谈判小组成员对需要共同认定的事项存在争议的，将按照少数服从多数的原则作出结论。持不同意见的谈判小组成员应当在评审报告上签署不同意见，否则视为同意评审报告。</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2.初步评审</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（1）谈判小组主要对响应供应商的资格和</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文件的响应性进行审查，以判断响应文件的形式是否符合要求、供应商是否符合资格要求、响应文件是否实质性响应采购文件的要求。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中有含义不明确、同类问题表述不一致或有明显文字和计算错误的内容，谈判小组应要求响应供应商在规定的时间内进行澄清、说明和补正。响应供应商澄清、说明和补正的内容应有法定代表人（单位负责人）或其授权的代理人签字或加盖单位章。澄清、说明和补正的内容作为响应文件的组成部分。</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（3）只有形式评审和资格评审合格且实质性响应采购文件要求的响应供应商才可通过初步评审。经响应供应商澄清、说明和补正后仍未通过初步评审的响应文件将被视为无效，谈判小组应告知有关响应供应商。</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3.谈判</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（1）谈判小组须与通过初步评审的供应商逐一进行谈判，并给予所有参加谈判的供应商平等的谈判机会。供应商的法定代表人（单位负责人）或其授权的代理人应参加谈判。</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所有成员应集中与单一供应商逐一进行谈判，并根据谈判情况，可要求供应商现场补充有效的响应文件，补充响应文件与首次递交的响应文件共同构成响应文件的组成部分，二者内容不一致的，以补充内容为准。</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（3）评审的依据是采购文件和响应文件，对于响应文件中描述不清楚的部分，谈判小组可请供应商以现场</w:t>
      </w:r>
      <w:r>
        <w:rPr>
          <w:rFonts w:hint="eastAsia" w:ascii="仿宋_GB2312" w:hAnsi="仿宋_GB2312" w:eastAsia="仿宋_GB2312" w:cs="仿宋_GB2312"/>
          <w:sz w:val="32"/>
          <w:szCs w:val="32"/>
          <w:highlight w:val="none"/>
          <w:lang w:val="en-US" w:eastAsia="zh-CN"/>
        </w:rPr>
        <w:t>补充响应文件的</w:t>
      </w:r>
      <w:r>
        <w:rPr>
          <w:rFonts w:hint="eastAsia" w:ascii="仿宋_GB2312" w:hAnsi="仿宋_GB2312" w:eastAsia="仿宋_GB2312" w:cs="仿宋_GB2312"/>
          <w:sz w:val="32"/>
          <w:szCs w:val="32"/>
          <w:highlight w:val="none"/>
        </w:rPr>
        <w:t>方式澄清，但澄清不得改变响应文件的实质性内容。</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（4）谈判小组将拒绝被确定为非实质性响应的报价，供应商不能通过修正或撤销不符之处而使其报价成为实质性响应的报价。</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（5）谈判小组会严格按照采购文件的要求进行评审。供应商不得企图向谈判小组成员施加任何影响，否则将会导致响应报价作废。</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谈判结束后，谈判小组将要求所有参加谈判的供应商在规定时间内递交最终报价；最终报价应由供应商的法定代表人（单位负责人）或其授权的代理人签字或加盖单位章。最终报价是供应商响应文件的组成部分。</w:t>
      </w:r>
    </w:p>
    <w:p>
      <w:pPr>
        <w:spacing w:line="560" w:lineRule="exact"/>
        <w:ind w:firstLine="640" w:firstLineChars="20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（7）评审完成后</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评选结果</w:t>
      </w:r>
      <w:r>
        <w:rPr>
          <w:rFonts w:hint="eastAsia" w:ascii="仿宋_GB2312" w:hAnsi="仿宋_GB2312" w:eastAsia="仿宋_GB2312" w:cs="仿宋_GB2312"/>
          <w:sz w:val="32"/>
          <w:szCs w:val="32"/>
          <w:highlight w:val="none"/>
        </w:rPr>
        <w:t>在淮北矿业电子商务采购平台发布，供应商自行关注。</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（三）纪律要求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rPr>
        <w:t>对采购人的纪律要求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采购人不得泄漏采购活动中应当保密的情况和资料，不得与响应供应商串通损害国家利益、社会公共利益或者他人合法权益。</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rPr>
        <w:t>对响应供应商的纪律要求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响应供应商不得相互串通或者与采购人串通，不得向采购人或者谈判小组成员行贿谋取成交，不得以他人名义参加采购活动或者以其他方式弄虚作假骗取成交；不得以任何方式干扰、影响评审工作。</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对谈判小组成员的纪律要求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谈判小组成员不得收受他人的财物或者其他好处，不得向他人透漏对响应文件的评审和比较、成交候选人的推荐情况以及评审有关的其他情况。在评审活动中，谈判小组成员不得擅离职守，影响评审程序正常进行。</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第三章 响应文件格式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一、响应供应商应按采购文件中的规定提供所有书面材料（应含有采购文件的所有内容），包括但不限于：</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（一）报价函。</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（二）法定代表人（单位负责人）身份证明及法人代表授权委托书。</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（三）报价</w:t>
      </w:r>
      <w:r>
        <w:rPr>
          <w:rFonts w:hint="eastAsia" w:ascii="仿宋_GB2312" w:hAnsi="仿宋_GB2312" w:eastAsia="仿宋_GB2312" w:cs="仿宋_GB2312"/>
          <w:color w:val="auto"/>
          <w:sz w:val="32"/>
          <w:szCs w:val="32"/>
          <w:highlight w:val="none"/>
          <w:lang w:val="en-US" w:eastAsia="zh-CN"/>
        </w:rPr>
        <w:t>明细</w:t>
      </w:r>
      <w:r>
        <w:rPr>
          <w:rFonts w:hint="eastAsia" w:ascii="仿宋_GB2312" w:hAnsi="仿宋_GB2312" w:eastAsia="仿宋_GB2312" w:cs="仿宋_GB2312"/>
          <w:color w:val="auto"/>
          <w:sz w:val="32"/>
          <w:szCs w:val="32"/>
          <w:highlight w:val="none"/>
        </w:rPr>
        <w:t>表（按照采购文件</w:t>
      </w:r>
      <w:r>
        <w:rPr>
          <w:rFonts w:hint="eastAsia" w:ascii="仿宋_GB2312" w:hAnsi="仿宋_GB2312" w:eastAsia="仿宋_GB2312" w:cs="仿宋_GB2312"/>
          <w:color w:val="auto"/>
          <w:sz w:val="32"/>
          <w:szCs w:val="32"/>
          <w:highlight w:val="none"/>
          <w:lang w:val="en-US" w:eastAsia="zh-CN"/>
        </w:rPr>
        <w:t>报价要求</w:t>
      </w:r>
      <w:r>
        <w:rPr>
          <w:rFonts w:hint="eastAsia" w:ascii="仿宋_GB2312" w:hAnsi="仿宋_GB2312" w:eastAsia="仿宋_GB2312" w:cs="仿宋_GB2312"/>
          <w:color w:val="auto"/>
          <w:sz w:val="32"/>
          <w:szCs w:val="32"/>
          <w:highlight w:val="none"/>
        </w:rPr>
        <w:t>）。</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（四）价格构成表（按照采购文件格式）。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（五）售后服务承诺。</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（六）业绩。</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（七）资格审查资料。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（八）技术说明，包括技术性能的详细描述、技术标准、技术文件、技术数据表等。</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（九）响应技术偏差表（按照采购文件格式）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（十）响应商务偏差表（按照采购文件格式）。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备注：如果响应供应商没有以书面形式对采购文件的条文提出有偏差，则意味着响应供应商提供的报价条件（包括商务和技术）完全符合本采购文件的要求。如有偏差，不管多么微小都应在响应文件中以“商务偏差”和“技术偏差”的形式，在“商务偏差表”和“技术偏差表”中加以详细描述。</w:t>
      </w:r>
    </w:p>
    <w:p>
      <w:pPr>
        <w:keepNext w:val="0"/>
        <w:keepLines w:val="0"/>
        <w:pageBreakBefore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仿宋_GB2312" w:hAnsi="仿宋_GB2312" w:eastAsia="仿宋_GB2312" w:cs="仿宋_GB2312"/>
          <w:sz w:val="32"/>
          <w:szCs w:val="32"/>
          <w:highlight w:val="none"/>
        </w:rPr>
        <w:t>（十一）响应供应商认为需要表述的、与本次采购有关的其他内容。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bCs/>
          <w:sz w:val="32"/>
          <w:szCs w:val="32"/>
          <w:highlight w:val="none"/>
        </w:rPr>
      </w:pPr>
      <w:r>
        <w:rPr>
          <w:rFonts w:hint="eastAsia" w:ascii="黑体" w:hAnsi="黑体" w:eastAsia="黑体" w:cs="黑体"/>
          <w:sz w:val="32"/>
          <w:szCs w:val="32"/>
          <w:highlight w:val="none"/>
        </w:rPr>
        <w:t>二、标准格式及表格</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（一）报价函</w:t>
      </w:r>
    </w:p>
    <w:p>
      <w:pPr>
        <w:keepNext w:val="0"/>
        <w:keepLines w:val="0"/>
        <w:pageBreakBefore w:val="0"/>
        <w:widowControl/>
        <w:kinsoku/>
        <w:wordWrap/>
        <w:overflowPunct/>
        <w:topLinePunct w:val="0"/>
        <w:autoSpaceDE/>
        <w:autoSpaceDN/>
        <w:bidi w:val="0"/>
        <w:adjustRightInd/>
        <w:snapToGrid/>
        <w:spacing w:line="560" w:lineRule="exact"/>
        <w:ind w:firstLine="4160" w:firstLineChars="1300"/>
        <w:jc w:val="left"/>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报价函</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1.我方已仔细研究了采购文件全部内容，同意以下条件，按合同约定履行义务。</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总报价(含税价)：大写（￥：小写）</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具体供货时间</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lang w:bidi="ar"/>
        </w:rPr>
        <w:t>按技术规格书要求</w:t>
      </w:r>
      <w:r>
        <w:rPr>
          <w:rFonts w:hint="eastAsia" w:ascii="仿宋_GB2312" w:hAnsi="仿宋_GB2312" w:eastAsia="仿宋_GB2312" w:cs="仿宋_GB2312"/>
          <w:sz w:val="32"/>
          <w:szCs w:val="32"/>
          <w:highlight w:val="none"/>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2.我方承诺除商务和技术偏差表列出的偏差外，我方响应采购文件及技术规格书的全部要求。</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3.我方承诺在采购文件规定的有效期内不撤销响应文件。</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4.如我方成为成交供应商，我方承诺:</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(1)在公示结束后，在3</w:t>
      </w:r>
      <w:r>
        <w:rPr>
          <w:rFonts w:ascii="仿宋_GB2312" w:hAnsi="仿宋_GB2312" w:eastAsia="仿宋_GB2312" w:cs="仿宋_GB2312"/>
          <w:sz w:val="32"/>
          <w:szCs w:val="32"/>
          <w:highlight w:val="none"/>
        </w:rPr>
        <w:t>0</w:t>
      </w:r>
      <w:r>
        <w:rPr>
          <w:rFonts w:hint="eastAsia" w:ascii="仿宋_GB2312" w:hAnsi="仿宋_GB2312" w:eastAsia="仿宋_GB2312" w:cs="仿宋_GB2312"/>
          <w:sz w:val="32"/>
          <w:szCs w:val="32"/>
          <w:highlight w:val="none"/>
        </w:rPr>
        <w:t>日内与你方签订合同。</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(2)在签订合同时不向你方提出附加条件。</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)在合同约定的期限内完成合同规定的全部义务。</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5.我方在此声明，所递交的响应文件及有关资料内容完整、真实和准确。</w:t>
      </w:r>
    </w:p>
    <w:p>
      <w:pPr>
        <w:keepNext w:val="0"/>
        <w:keepLines w:val="0"/>
        <w:pageBreakBefore w:val="0"/>
        <w:kinsoku/>
        <w:wordWrap/>
        <w:overflowPunct/>
        <w:topLinePunct w:val="0"/>
        <w:autoSpaceDE/>
        <w:autoSpaceDN/>
        <w:bidi w:val="0"/>
        <w:adjustRightInd/>
        <w:snapToGrid/>
        <w:spacing w:line="560" w:lineRule="exact"/>
        <w:ind w:firstLine="3520" w:firstLineChars="11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供应商:(盖单位章)</w:t>
      </w:r>
    </w:p>
    <w:p>
      <w:pPr>
        <w:keepNext w:val="0"/>
        <w:keepLines w:val="0"/>
        <w:pageBreakBefore w:val="0"/>
        <w:kinsoku/>
        <w:wordWrap/>
        <w:overflowPunct/>
        <w:topLinePunct w:val="0"/>
        <w:autoSpaceDE/>
        <w:autoSpaceDN/>
        <w:bidi w:val="0"/>
        <w:adjustRightInd/>
        <w:snapToGrid/>
        <w:spacing w:line="560" w:lineRule="exact"/>
        <w:ind w:firstLine="1600" w:firstLineChars="5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法定代表人(单位负责人)或授权代表：(签字或盖章)</w:t>
      </w:r>
    </w:p>
    <w:p>
      <w:pPr>
        <w:keepNext w:val="0"/>
        <w:keepLines w:val="0"/>
        <w:pageBreakBefore w:val="0"/>
        <w:kinsoku/>
        <w:wordWrap/>
        <w:overflowPunct/>
        <w:topLinePunct w:val="0"/>
        <w:autoSpaceDE/>
        <w:autoSpaceDN/>
        <w:bidi w:val="0"/>
        <w:adjustRightInd/>
        <w:snapToGrid/>
        <w:spacing w:line="560" w:lineRule="exact"/>
        <w:ind w:firstLine="3840" w:firstLineChars="1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 xml:space="preserve">年 </w:t>
      </w:r>
      <w:r>
        <w:rPr>
          <w:rFonts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 xml:space="preserve"> 月 </w:t>
      </w:r>
      <w:r>
        <w:rPr>
          <w:rFonts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 xml:space="preserve"> 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bCs/>
          <w:sz w:val="32"/>
          <w:szCs w:val="32"/>
          <w:highlight w:val="none"/>
        </w:rPr>
      </w:pPr>
      <w:r>
        <w:rPr>
          <w:rFonts w:hint="eastAsia" w:ascii="仿宋_GB2312" w:hAnsi="仿宋_GB2312" w:eastAsia="仿宋_GB2312" w:cs="仿宋_GB2312"/>
          <w:sz w:val="32"/>
          <w:szCs w:val="32"/>
          <w:highlight w:val="none"/>
        </w:rPr>
        <w:t>注：请认真核对报价函、报价表、价格构成表内金额的一致性及签章的合规性。</w:t>
      </w:r>
    </w:p>
    <w:p>
      <w:pPr>
        <w:keepNext w:val="0"/>
        <w:keepLines w:val="0"/>
        <w:pageBreakBefore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w:t>
      </w:r>
      <w:r>
        <w:rPr>
          <w:rFonts w:hint="eastAsia" w:ascii="楷体_GB2312" w:hAnsi="楷体_GB2312" w:eastAsia="楷体_GB2312" w:cs="楷体_GB2312"/>
          <w:b/>
          <w:bCs/>
          <w:sz w:val="32"/>
          <w:szCs w:val="32"/>
          <w:highlight w:val="none"/>
          <w:lang w:val="en-US" w:eastAsia="zh-CN"/>
        </w:rPr>
        <w:t>二</w:t>
      </w:r>
      <w:r>
        <w:rPr>
          <w:rFonts w:hint="eastAsia" w:ascii="楷体_GB2312" w:hAnsi="楷体_GB2312" w:eastAsia="楷体_GB2312" w:cs="楷体_GB2312"/>
          <w:b/>
          <w:bCs/>
          <w:sz w:val="32"/>
          <w:szCs w:val="32"/>
          <w:highlight w:val="none"/>
        </w:rPr>
        <w:t>）技术偏差表（格式）</w:t>
      </w:r>
    </w:p>
    <w:tbl>
      <w:tblPr>
        <w:tblStyle w:val="10"/>
        <w:tblW w:w="0" w:type="auto"/>
        <w:tblInd w:w="0" w:type="dxa"/>
        <w:tblLayout w:type="fixed"/>
        <w:tblCellMar>
          <w:top w:w="0" w:type="dxa"/>
          <w:left w:w="108" w:type="dxa"/>
          <w:bottom w:w="0" w:type="dxa"/>
          <w:right w:w="108" w:type="dxa"/>
        </w:tblCellMar>
      </w:tblPr>
      <w:tblGrid>
        <w:gridCol w:w="913"/>
        <w:gridCol w:w="1974"/>
        <w:gridCol w:w="990"/>
        <w:gridCol w:w="2366"/>
        <w:gridCol w:w="2184"/>
        <w:gridCol w:w="1024"/>
      </w:tblGrid>
      <w:tr>
        <w:tblPrEx>
          <w:tblCellMar>
            <w:top w:w="0" w:type="dxa"/>
            <w:left w:w="108" w:type="dxa"/>
            <w:bottom w:w="0" w:type="dxa"/>
            <w:right w:w="108" w:type="dxa"/>
          </w:tblCellMar>
        </w:tblPrEx>
        <w:trPr>
          <w:trHeight w:val="416" w:hRule="atLeast"/>
        </w:trPr>
        <w:tc>
          <w:tcPr>
            <w:tcW w:w="91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货物名称</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数量</w:t>
            </w:r>
          </w:p>
        </w:tc>
        <w:tc>
          <w:tcPr>
            <w:tcW w:w="236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文件要求</w:t>
            </w:r>
          </w:p>
        </w:tc>
        <w:tc>
          <w:tcPr>
            <w:tcW w:w="218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文件对应</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备注</w:t>
            </w:r>
          </w:p>
        </w:tc>
      </w:tr>
      <w:tr>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r>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bl>
    <w:p>
      <w:pPr>
        <w:spacing w:before="80" w:line="360" w:lineRule="auto"/>
        <w:ind w:firstLine="643" w:firstLineChars="200"/>
        <w:rPr>
          <w:rFonts w:hint="eastAsia" w:ascii="宋体" w:hAnsi="宋体" w:cs="宋体"/>
          <w:b/>
          <w:kern w:val="1"/>
          <w:sz w:val="24"/>
          <w:highlight w:val="none"/>
        </w:rPr>
      </w:pPr>
      <w:r>
        <w:rPr>
          <w:rFonts w:hint="eastAsia" w:ascii="楷体_GB2312" w:hAnsi="楷体_GB2312" w:eastAsia="楷体_GB2312" w:cs="楷体_GB2312"/>
          <w:b/>
          <w:bCs w:val="0"/>
          <w:kern w:val="1"/>
          <w:sz w:val="32"/>
          <w:szCs w:val="32"/>
          <w:highlight w:val="none"/>
        </w:rPr>
        <w:t>（</w:t>
      </w:r>
      <w:r>
        <w:rPr>
          <w:rFonts w:hint="eastAsia" w:ascii="楷体_GB2312" w:hAnsi="楷体_GB2312" w:eastAsia="楷体_GB2312" w:cs="楷体_GB2312"/>
          <w:b/>
          <w:bCs w:val="0"/>
          <w:kern w:val="1"/>
          <w:sz w:val="32"/>
          <w:szCs w:val="32"/>
          <w:highlight w:val="none"/>
          <w:lang w:val="en-US" w:eastAsia="zh-CN"/>
        </w:rPr>
        <w:t>三</w:t>
      </w:r>
      <w:r>
        <w:rPr>
          <w:rFonts w:hint="eastAsia" w:ascii="楷体_GB2312" w:hAnsi="楷体_GB2312" w:eastAsia="楷体_GB2312" w:cs="楷体_GB2312"/>
          <w:b/>
          <w:bCs w:val="0"/>
          <w:kern w:val="1"/>
          <w:sz w:val="32"/>
          <w:szCs w:val="32"/>
          <w:highlight w:val="none"/>
        </w:rPr>
        <w:t>）商务偏差表（格式）</w:t>
      </w:r>
    </w:p>
    <w:tbl>
      <w:tblPr>
        <w:tblStyle w:val="10"/>
        <w:tblW w:w="0" w:type="auto"/>
        <w:tblInd w:w="0" w:type="dxa"/>
        <w:tblLayout w:type="fixed"/>
        <w:tblCellMar>
          <w:top w:w="0" w:type="dxa"/>
          <w:left w:w="108" w:type="dxa"/>
          <w:bottom w:w="0" w:type="dxa"/>
          <w:right w:w="108" w:type="dxa"/>
        </w:tblCellMar>
      </w:tblPr>
      <w:tblGrid>
        <w:gridCol w:w="925"/>
        <w:gridCol w:w="1997"/>
        <w:gridCol w:w="3092"/>
        <w:gridCol w:w="2471"/>
        <w:gridCol w:w="966"/>
      </w:tblGrid>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99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项目名称</w:t>
            </w:r>
          </w:p>
        </w:tc>
        <w:tc>
          <w:tcPr>
            <w:tcW w:w="309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文件要求</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文件对应</w:t>
            </w:r>
          </w:p>
        </w:tc>
        <w:tc>
          <w:tcPr>
            <w:tcW w:w="96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备注</w:t>
            </w:r>
          </w:p>
        </w:tc>
      </w:tr>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bl>
    <w:p>
      <w:pPr>
        <w:spacing w:before="156" w:line="360" w:lineRule="auto"/>
        <w:ind w:firstLine="643" w:firstLineChars="200"/>
        <w:rPr>
          <w:rFonts w:hint="eastAsia" w:ascii="楷体_GB2312" w:hAnsi="楷体_GB2312" w:eastAsia="楷体_GB2312" w:cs="楷体_GB2312"/>
          <w:b/>
          <w:kern w:val="1"/>
          <w:sz w:val="32"/>
          <w:szCs w:val="32"/>
          <w:highlight w:val="none"/>
        </w:rPr>
      </w:pP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四</w:t>
      </w: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响应供应商</w:t>
      </w:r>
      <w:r>
        <w:rPr>
          <w:rFonts w:hint="eastAsia" w:ascii="楷体_GB2312" w:hAnsi="楷体_GB2312" w:eastAsia="楷体_GB2312" w:cs="楷体_GB2312"/>
          <w:b/>
          <w:kern w:val="1"/>
          <w:sz w:val="32"/>
          <w:szCs w:val="32"/>
          <w:highlight w:val="none"/>
        </w:rPr>
        <w:t>主要加工和检测设备（格式）</w:t>
      </w:r>
    </w:p>
    <w:tbl>
      <w:tblPr>
        <w:tblStyle w:val="10"/>
        <w:tblW w:w="0" w:type="auto"/>
        <w:tblInd w:w="0" w:type="dxa"/>
        <w:tblLayout w:type="fixed"/>
        <w:tblCellMar>
          <w:top w:w="0" w:type="dxa"/>
          <w:left w:w="108" w:type="dxa"/>
          <w:bottom w:w="0" w:type="dxa"/>
          <w:right w:w="108" w:type="dxa"/>
        </w:tblCellMar>
      </w:tblPr>
      <w:tblGrid>
        <w:gridCol w:w="758"/>
        <w:gridCol w:w="1346"/>
        <w:gridCol w:w="1483"/>
        <w:gridCol w:w="809"/>
        <w:gridCol w:w="809"/>
        <w:gridCol w:w="2057"/>
        <w:gridCol w:w="2204"/>
      </w:tblGrid>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设备名称</w:t>
            </w: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规格型号</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单位</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数量</w:t>
            </w: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生产厂家</w:t>
            </w: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生产日期</w:t>
            </w:r>
          </w:p>
        </w:tc>
      </w:tr>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r>
    </w:tbl>
    <w:p>
      <w:pPr>
        <w:spacing w:before="156" w:line="360" w:lineRule="auto"/>
        <w:ind w:firstLine="643" w:firstLineChars="200"/>
        <w:rPr>
          <w:rFonts w:hint="eastAsia" w:ascii="楷体_GB2312" w:hAnsi="楷体_GB2312" w:eastAsia="楷体_GB2312" w:cs="楷体_GB2312"/>
          <w:b/>
          <w:kern w:val="1"/>
          <w:sz w:val="32"/>
          <w:szCs w:val="32"/>
          <w:highlight w:val="none"/>
        </w:rPr>
      </w:pP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五</w:t>
      </w:r>
      <w:r>
        <w:rPr>
          <w:rFonts w:hint="eastAsia" w:ascii="楷体_GB2312" w:hAnsi="楷体_GB2312" w:eastAsia="楷体_GB2312" w:cs="楷体_GB2312"/>
          <w:b/>
          <w:kern w:val="1"/>
          <w:sz w:val="32"/>
          <w:szCs w:val="32"/>
          <w:highlight w:val="none"/>
        </w:rPr>
        <w:t>）销售业绩汇总表（格式）</w:t>
      </w:r>
    </w:p>
    <w:tbl>
      <w:tblPr>
        <w:tblStyle w:val="10"/>
        <w:tblW w:w="0" w:type="auto"/>
        <w:tblInd w:w="-11" w:type="dxa"/>
        <w:tblLayout w:type="fixed"/>
        <w:tblCellMar>
          <w:top w:w="0" w:type="dxa"/>
          <w:left w:w="108" w:type="dxa"/>
          <w:bottom w:w="0" w:type="dxa"/>
          <w:right w:w="108" w:type="dxa"/>
        </w:tblCellMar>
      </w:tblPr>
      <w:tblGrid>
        <w:gridCol w:w="827"/>
        <w:gridCol w:w="1288"/>
        <w:gridCol w:w="1245"/>
        <w:gridCol w:w="1260"/>
        <w:gridCol w:w="1059"/>
        <w:gridCol w:w="1101"/>
        <w:gridCol w:w="3015"/>
      </w:tblGrid>
      <w:tr>
        <w:tblPrEx>
          <w:tblCellMar>
            <w:top w:w="0" w:type="dxa"/>
            <w:left w:w="108" w:type="dxa"/>
            <w:bottom w:w="0" w:type="dxa"/>
            <w:right w:w="108" w:type="dxa"/>
          </w:tblCellMar>
        </w:tblPrEx>
        <w:trPr>
          <w:trHeight w:val="485" w:hRule="atLeast"/>
        </w:trPr>
        <w:tc>
          <w:tcPr>
            <w:tcW w:w="9795" w:type="dxa"/>
            <w:gridSpan w:val="7"/>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销售业绩汇总表</w:t>
            </w:r>
          </w:p>
        </w:tc>
      </w:tr>
      <w:tr>
        <w:tblPrEx>
          <w:tblCellMar>
            <w:top w:w="0" w:type="dxa"/>
            <w:left w:w="108" w:type="dxa"/>
            <w:bottom w:w="0" w:type="dxa"/>
            <w:right w:w="108" w:type="dxa"/>
          </w:tblCellMar>
        </w:tblPrEx>
        <w:trPr>
          <w:trHeight w:val="10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序号</w:t>
            </w:r>
          </w:p>
        </w:tc>
        <w:tc>
          <w:tcPr>
            <w:tcW w:w="1288"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合同编号</w:t>
            </w:r>
          </w:p>
        </w:tc>
        <w:tc>
          <w:tcPr>
            <w:tcW w:w="1245"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合同金额</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物资名称及规格</w:t>
            </w:r>
          </w:p>
        </w:tc>
        <w:tc>
          <w:tcPr>
            <w:tcW w:w="105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发票编号</w:t>
            </w:r>
          </w:p>
        </w:tc>
        <w:tc>
          <w:tcPr>
            <w:tcW w:w="1101"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发票金额</w:t>
            </w:r>
          </w:p>
        </w:tc>
        <w:tc>
          <w:tcPr>
            <w:tcW w:w="301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有效业绩金额（按照业绩要求据实填写）</w:t>
            </w:r>
          </w:p>
        </w:tc>
      </w:tr>
      <w:tr>
        <w:tblPrEx>
          <w:tblCellMar>
            <w:top w:w="0" w:type="dxa"/>
            <w:left w:w="108" w:type="dxa"/>
            <w:bottom w:w="0" w:type="dxa"/>
            <w:right w:w="108" w:type="dxa"/>
          </w:tblCellMar>
        </w:tblPrEx>
        <w:trPr>
          <w:trHeight w:val="5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7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1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2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65" w:hRule="atLeast"/>
        </w:trPr>
        <w:tc>
          <w:tcPr>
            <w:tcW w:w="6780" w:type="dxa"/>
            <w:gridSpan w:val="6"/>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color w:val="auto"/>
                <w:kern w:val="1"/>
                <w:szCs w:val="21"/>
                <w:highlight w:val="none"/>
              </w:rPr>
            </w:pPr>
            <w:r>
              <w:rPr>
                <w:rFonts w:hint="eastAsia" w:ascii="宋体" w:hAnsi="宋体" w:cs="宋体"/>
                <w:color w:val="auto"/>
                <w:kern w:val="1"/>
                <w:szCs w:val="21"/>
                <w:highlight w:val="none"/>
              </w:rPr>
              <w:t>合计（必填）</w:t>
            </w:r>
          </w:p>
        </w:tc>
      </w:tr>
    </w:tbl>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highlight w:val="none"/>
        </w:rPr>
      </w:pPr>
      <w:r>
        <w:rPr>
          <w:rFonts w:hint="eastAsia" w:ascii="仿宋_GB2312" w:hAnsi="仿宋_GB2312" w:eastAsia="仿宋_GB2312" w:cs="仿宋_GB2312"/>
          <w:b/>
          <w:bCs/>
          <w:sz w:val="32"/>
          <w:szCs w:val="32"/>
          <w:highlight w:val="none"/>
        </w:rPr>
        <w:t>以上价格均为含税报价</w:t>
      </w:r>
      <w:r>
        <w:rPr>
          <w:rFonts w:hint="eastAsia"/>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sz w:val="32"/>
          <w:szCs w:val="32"/>
          <w:highlight w:val="none"/>
        </w:rPr>
      </w:pPr>
      <w:r>
        <w:rPr>
          <w:rFonts w:hint="eastAsia" w:ascii="楷体_GB2312" w:hAnsi="楷体_GB2312" w:eastAsia="楷体_GB2312" w:cs="楷体_GB2312"/>
          <w:b/>
          <w:bCs/>
          <w:sz w:val="32"/>
          <w:szCs w:val="32"/>
          <w:highlight w:val="none"/>
        </w:rPr>
        <w:t>（</w:t>
      </w:r>
      <w:r>
        <w:rPr>
          <w:rFonts w:hint="eastAsia" w:ascii="楷体_GB2312" w:hAnsi="楷体_GB2312" w:eastAsia="楷体_GB2312" w:cs="楷体_GB2312"/>
          <w:b/>
          <w:bCs/>
          <w:sz w:val="32"/>
          <w:szCs w:val="32"/>
          <w:highlight w:val="none"/>
          <w:lang w:val="en-US" w:eastAsia="zh-CN"/>
        </w:rPr>
        <w:t>六</w:t>
      </w:r>
      <w:r>
        <w:rPr>
          <w:rFonts w:hint="eastAsia" w:ascii="楷体_GB2312" w:hAnsi="楷体_GB2312" w:eastAsia="楷体_GB2312" w:cs="楷体_GB2312"/>
          <w:b/>
          <w:bCs/>
          <w:sz w:val="32"/>
          <w:szCs w:val="32"/>
          <w:highlight w:val="none"/>
        </w:rPr>
        <w:t>）法人代表授权委托书格式</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法人代表授权委托书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人（姓名）系（响应供应商名称）的法定代表人（单位负责人），现委托（姓名）为我方代理人。代理人根据授权，以我方名义签署、澄清确认、递交、撤回、修改本次采购项目响应文件、签订合同和处理有关事宜，其法律后果由我方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代理人无转委托权。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附：法定代表人（单位负责人）身份证复印件及委托代理人身份证复印件</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注：本授权委托书由响应供应商加盖单位公章并由其法定代表人（单位负责人）和委托代理人签字，否则按否决处理。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             （单位公章）</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  （签字）</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身份证号码：</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委托代理人：               （签字）</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身份证号码：</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联系方式（手机号）：</w:t>
      </w: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pPr>
        <w:keepNext w:val="0"/>
        <w:keepLines w:val="0"/>
        <w:pageBreakBefore w:val="0"/>
        <w:widowControl/>
        <w:wordWrap/>
        <w:overflowPunct/>
        <w:topLinePunct w:val="0"/>
        <w:bidi w:val="0"/>
        <w:spacing w:line="560" w:lineRule="exact"/>
        <w:jc w:val="left"/>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br w:type="page"/>
      </w:r>
    </w:p>
    <w:p>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第四章 采购内容及技术要求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一、</w:t>
      </w:r>
      <w:r>
        <w:rPr>
          <w:rFonts w:hint="eastAsia" w:ascii="黑体" w:hAnsi="黑体" w:eastAsia="黑体" w:cs="黑体"/>
          <w:sz w:val="32"/>
          <w:szCs w:val="32"/>
          <w:highlight w:val="none"/>
          <w:lang w:val="en-US" w:eastAsia="zh-CN"/>
        </w:rPr>
        <w:t>采购</w:t>
      </w:r>
      <w:r>
        <w:rPr>
          <w:rFonts w:hint="eastAsia" w:ascii="黑体" w:hAnsi="黑体" w:eastAsia="黑体" w:cs="黑体"/>
          <w:sz w:val="32"/>
          <w:szCs w:val="32"/>
          <w:highlight w:val="none"/>
          <w:lang w:eastAsia="zh-CN"/>
        </w:rPr>
        <w:t>货物及数量</w:t>
      </w:r>
    </w:p>
    <w:p>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淮北矿业股份有限公司一批矿用螺杆式泥浆泵、离心泥浆泵，</w:t>
      </w:r>
      <w:r>
        <w:rPr>
          <w:rFonts w:hint="eastAsia" w:ascii="仿宋_GB2312" w:hAnsi="仿宋_GB2312" w:eastAsia="仿宋_GB2312" w:cs="仿宋_GB2312"/>
          <w:color w:val="auto"/>
          <w:sz w:val="32"/>
          <w:szCs w:val="32"/>
          <w:highlight w:val="none"/>
          <w:lang w:val="en-US" w:eastAsia="zh-CN"/>
        </w:rPr>
        <w:t>采购量详见技术规格书</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二、主要技术要求及参数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主要技术要求及参数，详见技术规格书。</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三、其他</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文件未提到的部分，必须满足国家或行业标准、强制认证要求。</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（二）报价明细必须合理且成序列，如果偏离市场或报价物资明细覆盖面未达到100%，评标委员会将否决其</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资格。</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文件必须实质性响应技术规格书要求。不得简单复制</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文件内容，必须对技术指标进行详细描述。</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所列货物规格型号、品牌仅供参考，</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货物是否响应</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文件要求以是否满足技术要求为判断依据。如果必须引用某一供应者的技术规格才能准确或清楚的说明拟</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货物的技术规格时，均指参照或相当于。</w:t>
      </w:r>
    </w:p>
    <w:p>
      <w:pPr>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pPr>
        <w:pStyle w:val="2"/>
        <w:rPr>
          <w:rFonts w:hint="eastAsia"/>
          <w:highlight w:val="none"/>
        </w:rPr>
      </w:pPr>
    </w:p>
    <w:p>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第五章 合同的主要条款及要求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一、货款支付</w:t>
      </w:r>
    </w:p>
    <w:p>
      <w:pPr>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jc w:val="both"/>
        <w:textAlignment w:val="auto"/>
        <w:rPr>
          <w:rFonts w:hint="eastAsia" w:ascii="仿宋_GB2312" w:hAnsi="仿宋_GB2312" w:eastAsia="仿宋_GB2312" w:cs="仿宋_GB2312"/>
          <w:sz w:val="32"/>
          <w:szCs w:val="32"/>
          <w:lang w:eastAsia="zh-CN" w:bidi="ar"/>
        </w:rPr>
      </w:pPr>
      <w:r>
        <w:rPr>
          <w:rFonts w:hint="eastAsia" w:ascii="仿宋_GB2312" w:hAnsi="仿宋_GB2312" w:eastAsia="仿宋_GB2312" w:cs="仿宋_GB2312"/>
          <w:sz w:val="32"/>
          <w:szCs w:val="32"/>
          <w:lang w:eastAsia="zh-CN" w:bidi="ar"/>
        </w:rPr>
        <w:t>（</w:t>
      </w:r>
      <w:r>
        <w:rPr>
          <w:rFonts w:hint="eastAsia" w:ascii="仿宋_GB2312" w:hAnsi="仿宋_GB2312" w:eastAsia="仿宋_GB2312" w:cs="仿宋_GB2312"/>
          <w:sz w:val="32"/>
          <w:szCs w:val="32"/>
          <w:lang w:val="en-US" w:eastAsia="zh-CN" w:bidi="ar"/>
        </w:rPr>
        <w:t>一</w:t>
      </w:r>
      <w:r>
        <w:rPr>
          <w:rFonts w:hint="eastAsia" w:ascii="仿宋_GB2312" w:hAnsi="仿宋_GB2312" w:eastAsia="仿宋_GB2312" w:cs="仿宋_GB2312"/>
          <w:sz w:val="32"/>
          <w:szCs w:val="32"/>
          <w:lang w:eastAsia="zh-CN" w:bidi="ar"/>
        </w:rPr>
        <w:t>）</w:t>
      </w:r>
      <w:r>
        <w:rPr>
          <w:rFonts w:hint="eastAsia" w:ascii="仿宋_GB2312" w:hAnsi="仿宋_GB2312" w:eastAsia="仿宋_GB2312" w:cs="仿宋_GB2312"/>
          <w:sz w:val="32"/>
          <w:szCs w:val="32"/>
          <w:lang w:bidi="ar"/>
        </w:rPr>
        <w:t>质保金约定</w:t>
      </w:r>
      <w:r>
        <w:rPr>
          <w:rFonts w:hint="eastAsia" w:ascii="仿宋_GB2312" w:hAnsi="仿宋_GB2312" w:eastAsia="仿宋_GB2312" w:cs="仿宋_GB2312"/>
          <w:sz w:val="32"/>
          <w:szCs w:val="32"/>
          <w:lang w:eastAsia="zh-CN" w:bidi="ar"/>
        </w:rPr>
        <w:t>：</w:t>
      </w:r>
    </w:p>
    <w:p>
      <w:pPr>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sz w:val="32"/>
          <w:szCs w:val="32"/>
          <w:lang w:val="en-US" w:eastAsia="zh-CN" w:bidi="ar"/>
        </w:rPr>
        <w:t>1.</w:t>
      </w:r>
      <w:r>
        <w:rPr>
          <w:rFonts w:hint="eastAsia" w:ascii="仿宋_GB2312" w:hAnsi="仿宋_GB2312" w:eastAsia="仿宋_GB2312" w:cs="仿宋_GB2312"/>
          <w:sz w:val="32"/>
          <w:szCs w:val="32"/>
          <w:lang w:bidi="ar"/>
        </w:rPr>
        <w:t>入账金额的10%作为质量保证金（以下简称质保金）</w:t>
      </w:r>
      <w:r>
        <w:rPr>
          <w:rFonts w:hint="eastAsia" w:ascii="仿宋_GB2312" w:hAnsi="仿宋_GB2312" w:eastAsia="仿宋_GB2312" w:cs="仿宋_GB2312"/>
          <w:sz w:val="32"/>
          <w:szCs w:val="32"/>
          <w:lang w:eastAsia="zh-CN" w:bidi="ar"/>
        </w:rPr>
        <w:t>，</w:t>
      </w:r>
      <w:r>
        <w:rPr>
          <w:rFonts w:hint="eastAsia" w:ascii="仿宋_GB2312" w:hAnsi="仿宋_GB2312" w:eastAsia="仿宋_GB2312" w:cs="仿宋_GB2312"/>
          <w:b w:val="0"/>
          <w:bCs w:val="0"/>
          <w:sz w:val="32"/>
          <w:szCs w:val="32"/>
        </w:rPr>
        <w:t>在合同签订前或货到前以银行转账交纳、单独挂账。质保期自产品验收合格入库之日起算，期限为</w:t>
      </w:r>
      <w:r>
        <w:rPr>
          <w:rFonts w:hint="eastAsia" w:ascii="仿宋_GB2312" w:hAnsi="仿宋_GB2312" w:eastAsia="仿宋_GB2312" w:cs="仿宋_GB2312"/>
          <w:b w:val="0"/>
          <w:bCs w:val="0"/>
          <w:sz w:val="32"/>
          <w:szCs w:val="32"/>
          <w:lang w:val="en-US" w:eastAsia="zh-CN"/>
        </w:rPr>
        <w:t>12</w:t>
      </w:r>
      <w:r>
        <w:rPr>
          <w:rFonts w:hint="eastAsia" w:ascii="仿宋_GB2312" w:hAnsi="仿宋_GB2312" w:eastAsia="仿宋_GB2312" w:cs="仿宋_GB2312"/>
          <w:b w:val="0"/>
          <w:bCs w:val="0"/>
          <w:sz w:val="32"/>
          <w:szCs w:val="32"/>
        </w:rPr>
        <w:t>个月。</w:t>
      </w:r>
    </w:p>
    <w:p>
      <w:pPr>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lang w:eastAsia="zh-CN"/>
        </w:rPr>
        <w:t>退还（支付）：</w:t>
      </w:r>
      <w:r>
        <w:rPr>
          <w:rFonts w:hint="eastAsia" w:ascii="仿宋_GB2312" w:hAnsi="仿宋_GB2312" w:eastAsia="仿宋_GB2312" w:cs="仿宋_GB2312"/>
          <w:b w:val="0"/>
          <w:bCs w:val="0"/>
          <w:sz w:val="32"/>
          <w:szCs w:val="32"/>
        </w:rPr>
        <w:t>自货款中扣留的，质保期届满、一年内无质量异议的，第13个月无息支付，存在未决质量争议的暂扣相应金额，待争议解决后支付。</w:t>
      </w:r>
    </w:p>
    <w:p>
      <w:pPr>
        <w:keepNext w:val="0"/>
        <w:keepLines w:val="0"/>
        <w:pageBreakBefore w:val="0"/>
        <w:tabs>
          <w:tab w:val="left" w:pos="3270"/>
        </w:tabs>
        <w:kinsoku/>
        <w:wordWrap/>
        <w:overflowPunct/>
        <w:topLinePunct w:val="0"/>
        <w:bidi w:val="0"/>
        <w:snapToGrid/>
        <w:spacing w:line="560" w:lineRule="exact"/>
        <w:ind w:firstLine="64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lang w:eastAsia="zh-CN"/>
        </w:rPr>
        <w:t>扣减（不予支付）情形：</w:t>
      </w:r>
      <w:r>
        <w:rPr>
          <w:rFonts w:hint="eastAsia" w:ascii="仿宋_GB2312" w:hAnsi="仿宋_GB2312" w:eastAsia="仿宋_GB2312" w:cs="仿宋_GB2312"/>
          <w:b w:val="0"/>
          <w:bCs w:val="0"/>
          <w:sz w:val="32"/>
          <w:szCs w:val="32"/>
        </w:rPr>
        <w:t>质保期或使用过程中出现质量问题的（存在争议的情形除外），采购人有权从质量保证金中扣减相应金额（或不予支付），不另从履约保证金扣减。扣减标准为：出现质量问题的批次，按该批次合同金额的10%从</w:t>
      </w:r>
      <w:r>
        <w:rPr>
          <w:rFonts w:hint="default" w:ascii="Times New Roman" w:hAnsi="Times New Roman" w:eastAsia="仿宋_GB2312" w:cs="Times New Roman"/>
          <w:b w:val="0"/>
          <w:bCs w:val="0"/>
          <w:sz w:val="32"/>
          <w:szCs w:val="32"/>
        </w:rPr>
        <w:t>质量保证金中扣减。一年内有质量问题未能解决的，该部分不予支付。</w:t>
      </w:r>
    </w:p>
    <w:p>
      <w:pPr>
        <w:keepNext w:val="0"/>
        <w:keepLines w:val="0"/>
        <w:pageBreakBefore w:val="0"/>
        <w:tabs>
          <w:tab w:val="left" w:pos="3270"/>
        </w:tabs>
        <w:kinsoku/>
        <w:wordWrap/>
        <w:overflowPunct/>
        <w:topLinePunct w:val="0"/>
        <w:bidi w:val="0"/>
        <w:snapToGrid/>
        <w:spacing w:line="56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bidi="ar"/>
        </w:rPr>
        <w:t>（</w:t>
      </w:r>
      <w:r>
        <w:rPr>
          <w:rFonts w:hint="eastAsia" w:ascii="仿宋_GB2312" w:hAnsi="仿宋_GB2312" w:eastAsia="仿宋_GB2312" w:cs="仿宋_GB2312"/>
          <w:b w:val="0"/>
          <w:bCs w:val="0"/>
          <w:sz w:val="32"/>
          <w:szCs w:val="32"/>
          <w:lang w:val="en-US" w:eastAsia="zh-CN" w:bidi="ar"/>
        </w:rPr>
        <w:t>二</w:t>
      </w:r>
      <w:r>
        <w:rPr>
          <w:rFonts w:hint="eastAsia" w:ascii="仿宋_GB2312" w:hAnsi="仿宋_GB2312" w:eastAsia="仿宋_GB2312" w:cs="仿宋_GB2312"/>
          <w:b w:val="0"/>
          <w:bCs w:val="0"/>
          <w:sz w:val="32"/>
          <w:szCs w:val="32"/>
          <w:lang w:eastAsia="zh-CN" w:bidi="ar"/>
        </w:rPr>
        <w:t>）</w:t>
      </w:r>
      <w:r>
        <w:rPr>
          <w:rFonts w:hint="eastAsia" w:ascii="仿宋_GB2312" w:hAnsi="仿宋_GB2312" w:eastAsia="仿宋_GB2312" w:cs="仿宋_GB2312"/>
          <w:b w:val="0"/>
          <w:bCs w:val="0"/>
          <w:sz w:val="32"/>
          <w:szCs w:val="32"/>
          <w:lang w:bidi="ar"/>
        </w:rPr>
        <w:t>361(承兑)付款方式：</w:t>
      </w:r>
      <w:r>
        <w:rPr>
          <w:rFonts w:hint="eastAsia" w:ascii="仿宋_GB2312" w:hAnsi="仿宋_GB2312" w:eastAsia="仿宋_GB2312" w:cs="仿宋_GB2312"/>
          <w:b w:val="0"/>
          <w:bCs w:val="0"/>
          <w:color w:val="444444"/>
          <w:sz w:val="32"/>
          <w:szCs w:val="32"/>
          <w:shd w:val="clear" w:color="auto" w:fill="FFFFFF"/>
        </w:rPr>
        <w:t>货到验收合格，发票入账次月起第3个月支付30%，第11个月支付60%，一年内无质量异议，第13个月支付10%质保金，一年内有质量问题未能解决,质保金</w:t>
      </w:r>
      <w:r>
        <w:rPr>
          <w:rFonts w:hint="eastAsia" w:ascii="仿宋_GB2312" w:hAnsi="仿宋_GB2312" w:eastAsia="仿宋_GB2312" w:cs="仿宋_GB2312"/>
          <w:color w:val="444444"/>
          <w:sz w:val="32"/>
          <w:szCs w:val="32"/>
          <w:shd w:val="clear" w:color="auto" w:fill="FFFFFF"/>
        </w:rPr>
        <w:t>不予支付。付款方式为承兑汇票</w:t>
      </w:r>
      <w:r>
        <w:rPr>
          <w:rFonts w:hint="eastAsia" w:ascii="仿宋_GB2312" w:hAnsi="仿宋_GB2312" w:eastAsia="仿宋_GB2312" w:cs="仿宋_GB2312"/>
          <w:sz w:val="32"/>
          <w:szCs w:val="32"/>
          <w:lang w:bidi="ar"/>
        </w:rPr>
        <w:t>。</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u w:val="none"/>
          <w:lang w:val="en-US" w:eastAsia="zh-CN"/>
        </w:rPr>
      </w:pPr>
      <w:r>
        <w:rPr>
          <w:rFonts w:hint="eastAsia" w:ascii="黑体" w:hAnsi="黑体" w:eastAsia="黑体" w:cs="黑体"/>
          <w:color w:val="auto"/>
          <w:sz w:val="32"/>
          <w:szCs w:val="32"/>
          <w:highlight w:val="none"/>
          <w:u w:val="none"/>
          <w:lang w:val="en-US" w:eastAsia="zh-CN"/>
        </w:rPr>
        <w:t>二、合同签订</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黑体" w:hAnsi="黑体" w:eastAsia="黑体" w:cs="黑体"/>
          <w:color w:val="auto"/>
          <w:kern w:val="2"/>
          <w:sz w:val="32"/>
          <w:szCs w:val="32"/>
          <w:highlight w:val="none"/>
          <w:u w:val="none"/>
          <w:lang w:val="en-US" w:eastAsia="zh-CN" w:bidi="ar-SA"/>
        </w:rPr>
      </w:pPr>
      <w:r>
        <w:rPr>
          <w:rFonts w:hint="eastAsia" w:ascii="仿宋_GB2312" w:hAnsi="仿宋_GB2312" w:eastAsia="仿宋_GB2312" w:cs="仿宋_GB2312"/>
          <w:color w:val="auto"/>
          <w:sz w:val="32"/>
          <w:szCs w:val="32"/>
          <w:highlight w:val="none"/>
          <w:u w:val="none"/>
          <w:lang w:val="en-US" w:eastAsia="zh-CN"/>
        </w:rPr>
        <w:t>自成交公告发布之日起30日内完成签订技术协议及合同签订。</w:t>
      </w:r>
    </w:p>
    <w:p>
      <w:pPr>
        <w:ind w:firstLine="640" w:firstLineChars="200"/>
        <w:rPr>
          <w:rFonts w:hint="eastAsia" w:ascii="黑体" w:hAnsi="黑体" w:eastAsia="黑体" w:cs="黑体"/>
          <w:color w:val="auto"/>
          <w:kern w:val="2"/>
          <w:sz w:val="32"/>
          <w:szCs w:val="32"/>
          <w:highlight w:val="none"/>
          <w:u w:val="none"/>
          <w:lang w:val="en-US" w:eastAsia="zh-CN" w:bidi="ar-SA"/>
        </w:rPr>
      </w:pPr>
      <w:r>
        <w:rPr>
          <w:rFonts w:hint="eastAsia" w:ascii="黑体" w:hAnsi="黑体" w:eastAsia="黑体" w:cs="黑体"/>
          <w:color w:val="auto"/>
          <w:kern w:val="2"/>
          <w:sz w:val="32"/>
          <w:szCs w:val="32"/>
          <w:highlight w:val="none"/>
          <w:u w:val="none"/>
          <w:lang w:val="en-US" w:eastAsia="zh-CN" w:bidi="ar-SA"/>
        </w:rPr>
        <w:t>二、其他要求</w:t>
      </w:r>
    </w:p>
    <w:p>
      <w:pPr>
        <w:ind w:firstLine="640" w:firstLineChars="200"/>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详见附件工业品买卖合同及物资采购廉洁合同。</w:t>
      </w:r>
    </w:p>
    <w:p>
      <w:pPr>
        <w:keepNext w:val="0"/>
        <w:keepLines w:val="0"/>
        <w:pageBreakBefore w:val="0"/>
        <w:wordWrap/>
        <w:overflowPunct/>
        <w:topLinePunct w:val="0"/>
        <w:bidi w:val="0"/>
        <w:spacing w:line="560" w:lineRule="exact"/>
        <w:ind w:firstLine="640" w:firstLineChars="200"/>
        <w:jc w:val="both"/>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lang w:val="en-US" w:eastAsia="zh-CN"/>
        </w:rPr>
        <w:t>三</w:t>
      </w:r>
      <w:r>
        <w:rPr>
          <w:rFonts w:hint="eastAsia" w:ascii="黑体" w:hAnsi="黑体" w:eastAsia="黑体" w:cs="黑体"/>
          <w:b w:val="0"/>
          <w:bCs w:val="0"/>
          <w:sz w:val="32"/>
          <w:szCs w:val="32"/>
          <w:highlight w:val="none"/>
        </w:rPr>
        <w:t>、违约责任及解决办法</w:t>
      </w:r>
    </w:p>
    <w:p>
      <w:pPr>
        <w:keepNext w:val="0"/>
        <w:keepLines w:val="0"/>
        <w:pageBreakBefore w:val="0"/>
        <w:kinsoku/>
        <w:wordWrap/>
        <w:overflowPunct/>
        <w:topLinePunct w:val="0"/>
        <w:bidi w:val="0"/>
        <w:snapToGrid/>
        <w:spacing w:line="560" w:lineRule="exact"/>
        <w:ind w:firstLine="643"/>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响应供应商</w:t>
      </w:r>
      <w:r>
        <w:rPr>
          <w:rFonts w:hint="eastAsia" w:ascii="仿宋_GB2312" w:hAnsi="仿宋_GB2312" w:eastAsia="仿宋_GB2312" w:cs="仿宋_GB2312"/>
          <w:sz w:val="32"/>
          <w:szCs w:val="32"/>
        </w:rPr>
        <w:t>同意遵守《物资采购廉洁合同》约定事项和《物资分公司供应商管理办法》规定事项，并已了解完全知晓相关规定，中标人因违反前述管理办法被停用、禁用时，需求方有权单方解除本合同，自解除合同通知送达</w:t>
      </w:r>
      <w:r>
        <w:rPr>
          <w:rFonts w:hint="eastAsia" w:ascii="仿宋_GB2312" w:hAnsi="仿宋_GB2312" w:eastAsia="仿宋_GB2312" w:cs="仿宋_GB2312"/>
          <w:sz w:val="32"/>
          <w:szCs w:val="32"/>
          <w:lang w:val="en-US" w:eastAsia="zh-CN"/>
        </w:rPr>
        <w:t>响应供应商</w:t>
      </w:r>
      <w:r>
        <w:rPr>
          <w:rFonts w:hint="eastAsia" w:ascii="仿宋_GB2312" w:hAnsi="仿宋_GB2312" w:eastAsia="仿宋_GB2312" w:cs="仿宋_GB2312"/>
          <w:sz w:val="32"/>
          <w:szCs w:val="32"/>
        </w:rPr>
        <w:t>时解除，发生其他违反约定和违规行为的，均按照《物资采购廉洁合同》约定和《物资分公司供应商管理办法》规定进行处理。</w:t>
      </w:r>
    </w:p>
    <w:p>
      <w:pPr>
        <w:keepNext w:val="0"/>
        <w:keepLines w:val="0"/>
        <w:pageBreakBefore w:val="0"/>
        <w:wordWrap/>
        <w:overflowPunct/>
        <w:topLinePunct w:val="0"/>
        <w:bidi w:val="0"/>
        <w:spacing w:line="560" w:lineRule="exact"/>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w:t>
      </w:r>
    </w:p>
    <w:p>
      <w:pPr>
        <w:pStyle w:val="4"/>
        <w:rPr>
          <w:rFonts w:hint="eastAsia" w:ascii="仿宋_GB2312" w:hAnsi="仿宋_GB2312" w:eastAsia="仿宋_GB2312" w:cs="仿宋_GB2312"/>
          <w:b w:val="0"/>
          <w:bCs w:val="0"/>
          <w:sz w:val="32"/>
          <w:szCs w:val="32"/>
          <w:highlight w:val="none"/>
          <w:lang w:val="en-US" w:eastAsia="zh-CN"/>
        </w:rPr>
      </w:pPr>
    </w:p>
    <w:p>
      <w:pPr>
        <w:rPr>
          <w:rFonts w:hint="eastAsia" w:ascii="仿宋_GB2312" w:hAnsi="仿宋_GB2312" w:eastAsia="仿宋_GB2312" w:cs="仿宋_GB2312"/>
          <w:b w:val="0"/>
          <w:bCs w:val="0"/>
          <w:sz w:val="32"/>
          <w:szCs w:val="32"/>
          <w:highlight w:val="none"/>
          <w:lang w:val="en-US" w:eastAsia="zh-CN"/>
        </w:rPr>
      </w:pPr>
    </w:p>
    <w:p>
      <w:pPr>
        <w:pStyle w:val="4"/>
        <w:rPr>
          <w:rFonts w:hint="eastAsia" w:ascii="仿宋_GB2312" w:hAnsi="仿宋_GB2312" w:eastAsia="仿宋_GB2312" w:cs="仿宋_GB2312"/>
          <w:b w:val="0"/>
          <w:bCs w:val="0"/>
          <w:sz w:val="32"/>
          <w:szCs w:val="32"/>
          <w:highlight w:val="none"/>
          <w:lang w:val="en-US" w:eastAsia="zh-CN"/>
        </w:rPr>
      </w:pPr>
    </w:p>
    <w:p>
      <w:pPr>
        <w:rPr>
          <w:rFonts w:hint="eastAsia" w:ascii="仿宋_GB2312" w:hAnsi="仿宋_GB2312" w:eastAsia="仿宋_GB2312" w:cs="仿宋_GB2312"/>
          <w:b w:val="0"/>
          <w:bCs w:val="0"/>
          <w:sz w:val="32"/>
          <w:szCs w:val="32"/>
          <w:highlight w:val="none"/>
          <w:lang w:val="en-US" w:eastAsia="zh-CN"/>
        </w:rPr>
      </w:pPr>
    </w:p>
    <w:p>
      <w:pPr>
        <w:pStyle w:val="4"/>
        <w:rPr>
          <w:rFonts w:hint="default"/>
          <w:highlight w:val="none"/>
          <w:lang w:val="en-US" w:eastAsia="zh-CN"/>
        </w:rPr>
      </w:pPr>
    </w:p>
    <w:p>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pPr>
        <w:pStyle w:val="2"/>
        <w:rPr>
          <w:rFonts w:hint="eastAsia" w:ascii="宋体" w:hAnsi="宋体" w:eastAsia="宋体" w:cs="宋体"/>
          <w:b/>
          <w:bCs/>
          <w:sz w:val="36"/>
          <w:szCs w:val="36"/>
          <w:highlight w:val="none"/>
        </w:rPr>
      </w:pPr>
    </w:p>
    <w:p>
      <w:pPr>
        <w:pStyle w:val="2"/>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2"/>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4"/>
        <w:ind w:left="0" w:leftChars="0" w:firstLine="0" w:firstLineChars="0"/>
        <w:rPr>
          <w:rFonts w:hint="eastAsia"/>
          <w:highlight w:val="none"/>
        </w:rPr>
      </w:pP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第六章 评审办法</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一、谈判小组首先对响应文件进行初步评审。初步评审包括形式、资格、响应性评审，初步评审不合格的否决谈判资格，不得进入谈判。</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响应文件中各项价格不一致时，以报价函报价为准。报价有算术错误及其他错误的，谈判小组按以下原则要求响应供应商对报价进行修正，并要求响应供应商书面澄清确认。响应供应商拒不澄清确认的，谈判小组可以否决其响应报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1.响应文件中的大写金额与小写金额不一致的，以大写金额为准。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2.报价表中合价金额与单价金额不一致的，以单价金额为准，但单价金额小数点有明显错误的除外。</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3.如果</w:t>
      </w:r>
      <w:r>
        <w:rPr>
          <w:rFonts w:hint="eastAsia" w:ascii="仿宋_GB2312" w:hAnsi="仿宋_GB2312" w:eastAsia="仿宋_GB2312" w:cs="仿宋_GB2312"/>
          <w:sz w:val="32"/>
          <w:szCs w:val="32"/>
          <w:highlight w:val="none"/>
          <w:lang w:val="en-US" w:eastAsia="zh-CN"/>
        </w:rPr>
        <w:t>报价明细表</w:t>
      </w:r>
      <w:r>
        <w:rPr>
          <w:rFonts w:hint="eastAsia" w:ascii="仿宋_GB2312" w:hAnsi="仿宋_GB2312" w:eastAsia="仿宋_GB2312" w:cs="仿宋_GB2312"/>
          <w:sz w:val="32"/>
          <w:szCs w:val="32"/>
          <w:highlight w:val="none"/>
        </w:rPr>
        <w:t>中存在缺漏项，则视为缺漏项价格已包含在其他分项报价之中。</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初步评审合格后进入详细评审，详细评审采用评审最低价法。即，谈判小组按照本项目最终报价总金额进行评选，最终报价总金额最低成交。如果响应报价总金额相等，由谈判小组结合项目特点综合考虑后，表决确定推荐成交候选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_GB2312" w:hAnsi="楷体_GB2312" w:eastAsia="楷体_GB2312" w:cs="楷体_GB2312"/>
          <w:b/>
          <w:bCs/>
          <w:sz w:val="32"/>
          <w:szCs w:val="32"/>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第七章异议（质疑）处理</w:t>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一、对采购文件有异议的，异议人应当在响应截止时间前通过书面提出。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二、对谈判过程有异议的，异议人应当在谈判期间当场提出。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受理部门：淮北矿业股份有限公司物资分公司</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联系电话：0561-</w:t>
      </w:r>
      <w:r>
        <w:rPr>
          <w:rFonts w:hint="eastAsia" w:ascii="仿宋_GB2312" w:hAnsi="仿宋_GB2312" w:eastAsia="仿宋_GB2312" w:cs="仿宋_GB2312"/>
          <w:sz w:val="32"/>
          <w:szCs w:val="32"/>
          <w:highlight w:val="none"/>
          <w:lang w:val="en-US" w:eastAsia="zh-CN"/>
        </w:rPr>
        <w:t>4958089</w:t>
      </w:r>
      <w:r>
        <w:rPr>
          <w:rFonts w:hint="eastAsia" w:ascii="仿宋_GB2312" w:hAnsi="仿宋_GB2312" w:eastAsia="仿宋_GB2312" w:cs="仿宋_GB2312"/>
          <w:sz w:val="32"/>
          <w:szCs w:val="32"/>
          <w:highlight w:val="none"/>
        </w:rPr>
        <w:t>（工作日8:30-12:00</w:t>
      </w:r>
      <w:r>
        <w:rPr>
          <w:rFonts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rPr>
        <w:t>14:30-17:00）</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异议人提出异议应当按照下列格式提交异议书。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723" w:firstLineChars="200"/>
        <w:jc w:val="center"/>
        <w:rPr>
          <w:rFonts w:ascii="仿宋_GB2312" w:hAnsi="仿宋_GB2312" w:eastAsia="仿宋_GB2312" w:cs="仿宋_GB2312"/>
          <w:sz w:val="32"/>
          <w:szCs w:val="32"/>
          <w:highlight w:val="none"/>
        </w:rPr>
      </w:pPr>
      <w:r>
        <w:rPr>
          <w:rFonts w:hint="eastAsia" w:ascii="宋体" w:hAnsi="宋体" w:eastAsia="宋体" w:cs="宋体"/>
          <w:b/>
          <w:bCs/>
          <w:sz w:val="36"/>
          <w:szCs w:val="36"/>
          <w:highlight w:val="none"/>
        </w:rPr>
        <w:t>（项目名称）异议书</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授权委托代理人：身份证号：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住址：联系电话：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被异议人：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异议事项的基本事实：</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相关请求及主张：</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有效线索和相关证明材料：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异议提出人与该项目有利害关系的证明材料：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此致：（受理部门）</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附件：1.法定代表人授权委托书2.法人单位的有效证明3.代理人本人的有效身份证明4.相关证明材料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4800" w:firstLineChars="1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pPr>
        <w:keepNext w:val="0"/>
        <w:keepLines w:val="0"/>
        <w:pageBreakBefore w:val="0"/>
        <w:wordWrap/>
        <w:overflowPunct/>
        <w:topLinePunct w:val="0"/>
        <w:bidi w:val="0"/>
        <w:spacing w:line="560" w:lineRule="exact"/>
        <w:ind w:firstLine="1600" w:firstLineChars="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诚信异议承诺书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（异议人名称）郑重承诺：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遵循公开、公平、公正和诚实信用的原则参加(具体的响应报价项目名称)的响应报价活动，已熟知采购文件关于异议相关要求，并承诺依法依规并按采购文件要求递交相关异议材料，如有虚假异议和恶意异议的情形，承担相关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一、本次异议所提供的一切材料都是真实、合法、有效的。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二、本次异议活动过程中无违反法律法规和采购文件规定的各种虚假异议和恶意异议行为。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三、若违反诚信原则和本承诺书，愿意根据法律法规和采购文件的规定，接受淮北矿业集团关于限制交易和停止交易等黑名单相关处理。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四、若有违反本承诺内容的行为，承担相应的法律责任。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3840" w:firstLineChars="1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pPr>
        <w:keepNext w:val="0"/>
        <w:keepLines w:val="0"/>
        <w:pageBreakBefore w:val="0"/>
        <w:wordWrap/>
        <w:overflowPunct/>
        <w:topLinePunct w:val="0"/>
        <w:bidi w:val="0"/>
        <w:spacing w:line="560" w:lineRule="exact"/>
        <w:ind w:firstLine="5440" w:firstLineChars="17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pPr>
        <w:keepNext w:val="0"/>
        <w:keepLines w:val="0"/>
        <w:pageBreakBefore w:val="0"/>
        <w:wordWrap/>
        <w:overflowPunct/>
        <w:topLinePunct w:val="0"/>
        <w:bidi w:val="0"/>
        <w:spacing w:line="560" w:lineRule="exact"/>
        <w:ind w:firstLine="1920" w:firstLineChars="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异议人是法人的，异议书必须由其法定代表人签字并加盖公章；异议人是其他组织或者自然人的，异议书必须由其主要负责人或者自然人本人签字。法定代表人、主要负责人或者自然人本人应当附有效身份证明（验原件，留复印件）。</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异议人可以自己直接提出异议，也可以授权委托代理人办理异议事务。代理人办理异议事务时，应当将异议书、法定代表人授权委托书、法人单位的有效证明（验原件，留加盖公章的复印件）、代理人本人的有效身份证明（验原件，留复印件）一并提交给受理部门。法定代表人授权委托书应当明确有关授权委托代理权限和事项。</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异议书有关材料是外文的，异议人应当同时提供其中文译本。</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rPr>
        <w:t>有下列情形之一的，采购人可以不予受理异议</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异议人不是响应供应商或者其他利害关系人的。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未在规定的期限内，按照规定要求提出异议的。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应当以书面形式提出但未以书面形式提出的。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异议书未属具异议人真实名称、相关签字公章和有效联系方式的，代理人没有相应的法定代表人授权委托书、法人单位的有效证明、代理人本人的有效身份证明的或有关委托代理权限和事项不明确的。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谈判现场已经异议人确认的事项，异议人又就同一事项提出异议的。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采购人已经作出书面答复，异议人无新的事实证据，又就同一事项提出异议的。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异议人撤回异议，又以同一事实和理由再次提出异议的。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书面异议（质疑）材料不完整的。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异议（质疑）事项含有主观猜测等内容且无充分有效证据的。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对其他响应供应商的响应文件详细内容异议（质疑），无法提供合法来源渠道的。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异议人不配合异议事项办理的。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违反相关法律法规的。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rPr>
        <w:t>对于虚假、恶意异议的处理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出异议的响应供应商不得以异议为名进行虚假、恶意异议，干扰采购活动的正常进行。对于提供虚假材料，以异议为名谋取成交或恶意异议扰乱采购工作秩序，以及近六个月内无效异议累计超过两次，或近一年内累计超过三次的，淮北矿业按照采购管理相关规定及供应商管理办法，将其记入淮北矿业“黑名单”，并按相关流程严肃处理。</w:t>
      </w:r>
    </w:p>
    <w:sectPr>
      <w:pgSz w:w="11906" w:h="16838"/>
      <w:pgMar w:top="1247" w:right="1474" w:bottom="1304" w:left="1587" w:header="851" w:footer="992"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F8"/>
    <w:rsid w:val="00053E71"/>
    <w:rsid w:val="00076838"/>
    <w:rsid w:val="001643FA"/>
    <w:rsid w:val="002140F0"/>
    <w:rsid w:val="0036404C"/>
    <w:rsid w:val="00382E87"/>
    <w:rsid w:val="0039039B"/>
    <w:rsid w:val="003A1246"/>
    <w:rsid w:val="003C48C4"/>
    <w:rsid w:val="004241B3"/>
    <w:rsid w:val="004A56E0"/>
    <w:rsid w:val="004E0731"/>
    <w:rsid w:val="00525F10"/>
    <w:rsid w:val="005E1976"/>
    <w:rsid w:val="00603492"/>
    <w:rsid w:val="00655938"/>
    <w:rsid w:val="0067622D"/>
    <w:rsid w:val="006D5C02"/>
    <w:rsid w:val="00781DFA"/>
    <w:rsid w:val="007B5315"/>
    <w:rsid w:val="00806BB3"/>
    <w:rsid w:val="00822DFE"/>
    <w:rsid w:val="00881CF8"/>
    <w:rsid w:val="009269A2"/>
    <w:rsid w:val="009713FF"/>
    <w:rsid w:val="00AB1B3A"/>
    <w:rsid w:val="00AB7514"/>
    <w:rsid w:val="00B02EA2"/>
    <w:rsid w:val="00B15B31"/>
    <w:rsid w:val="00B26793"/>
    <w:rsid w:val="00B30DE8"/>
    <w:rsid w:val="00B54628"/>
    <w:rsid w:val="00B56777"/>
    <w:rsid w:val="00C30928"/>
    <w:rsid w:val="00C917D0"/>
    <w:rsid w:val="00CB04B4"/>
    <w:rsid w:val="00D32BE5"/>
    <w:rsid w:val="00D40D69"/>
    <w:rsid w:val="00D51E4D"/>
    <w:rsid w:val="00D86056"/>
    <w:rsid w:val="00D914B6"/>
    <w:rsid w:val="00EA0A26"/>
    <w:rsid w:val="00F038B5"/>
    <w:rsid w:val="01200F7F"/>
    <w:rsid w:val="014F7656"/>
    <w:rsid w:val="0156352C"/>
    <w:rsid w:val="016C3047"/>
    <w:rsid w:val="01B2253A"/>
    <w:rsid w:val="01F9035B"/>
    <w:rsid w:val="021653B1"/>
    <w:rsid w:val="02317AF5"/>
    <w:rsid w:val="02376814"/>
    <w:rsid w:val="023A6407"/>
    <w:rsid w:val="026305F6"/>
    <w:rsid w:val="0277301A"/>
    <w:rsid w:val="027C36B9"/>
    <w:rsid w:val="02941E04"/>
    <w:rsid w:val="03301804"/>
    <w:rsid w:val="03437BB6"/>
    <w:rsid w:val="037A05EF"/>
    <w:rsid w:val="03997E40"/>
    <w:rsid w:val="04073D5A"/>
    <w:rsid w:val="04A647CA"/>
    <w:rsid w:val="04F668B1"/>
    <w:rsid w:val="05024EA4"/>
    <w:rsid w:val="05036B9E"/>
    <w:rsid w:val="05526046"/>
    <w:rsid w:val="056476AA"/>
    <w:rsid w:val="056B3129"/>
    <w:rsid w:val="05AF4AD5"/>
    <w:rsid w:val="05B2719F"/>
    <w:rsid w:val="05EF10BB"/>
    <w:rsid w:val="05F1422D"/>
    <w:rsid w:val="06150C97"/>
    <w:rsid w:val="061D286A"/>
    <w:rsid w:val="064E6EC7"/>
    <w:rsid w:val="06977C4E"/>
    <w:rsid w:val="069F7723"/>
    <w:rsid w:val="06A64F55"/>
    <w:rsid w:val="06D7510F"/>
    <w:rsid w:val="06EB0BBA"/>
    <w:rsid w:val="070E11E2"/>
    <w:rsid w:val="073E23D5"/>
    <w:rsid w:val="076B7A24"/>
    <w:rsid w:val="078F7797"/>
    <w:rsid w:val="07950B26"/>
    <w:rsid w:val="080D3F91"/>
    <w:rsid w:val="089808CE"/>
    <w:rsid w:val="089E3A0A"/>
    <w:rsid w:val="08E40987"/>
    <w:rsid w:val="08ED6E6B"/>
    <w:rsid w:val="09C556F2"/>
    <w:rsid w:val="09F927A2"/>
    <w:rsid w:val="0A2C2830"/>
    <w:rsid w:val="0A6E15DE"/>
    <w:rsid w:val="0ABC370D"/>
    <w:rsid w:val="0AF142C5"/>
    <w:rsid w:val="0AF618DB"/>
    <w:rsid w:val="0B26054B"/>
    <w:rsid w:val="0B646AD9"/>
    <w:rsid w:val="0BB91287"/>
    <w:rsid w:val="0BD240F7"/>
    <w:rsid w:val="0BF17107"/>
    <w:rsid w:val="0C383B6D"/>
    <w:rsid w:val="0C51281E"/>
    <w:rsid w:val="0C7B3CA5"/>
    <w:rsid w:val="0CFA3648"/>
    <w:rsid w:val="0D58062B"/>
    <w:rsid w:val="0D5C2DA7"/>
    <w:rsid w:val="0D6A407C"/>
    <w:rsid w:val="0DF93775"/>
    <w:rsid w:val="0E2055ED"/>
    <w:rsid w:val="0E2A646C"/>
    <w:rsid w:val="0E6809A5"/>
    <w:rsid w:val="0EC600A2"/>
    <w:rsid w:val="0ECB739B"/>
    <w:rsid w:val="0F112C3E"/>
    <w:rsid w:val="0F434917"/>
    <w:rsid w:val="0F482560"/>
    <w:rsid w:val="0FA45DAA"/>
    <w:rsid w:val="0FC01DAB"/>
    <w:rsid w:val="0FC66675"/>
    <w:rsid w:val="0FCC498E"/>
    <w:rsid w:val="0FD85A54"/>
    <w:rsid w:val="0FDA6BB4"/>
    <w:rsid w:val="0FEE34C9"/>
    <w:rsid w:val="0FF87EA4"/>
    <w:rsid w:val="10463305"/>
    <w:rsid w:val="10533A57"/>
    <w:rsid w:val="10563548"/>
    <w:rsid w:val="106E38EB"/>
    <w:rsid w:val="106F63B8"/>
    <w:rsid w:val="10703EDE"/>
    <w:rsid w:val="108C6F6A"/>
    <w:rsid w:val="10A006DD"/>
    <w:rsid w:val="11274EE5"/>
    <w:rsid w:val="1138433F"/>
    <w:rsid w:val="113A1950"/>
    <w:rsid w:val="11567578"/>
    <w:rsid w:val="117479FE"/>
    <w:rsid w:val="11A6405B"/>
    <w:rsid w:val="11C646FD"/>
    <w:rsid w:val="11E626AA"/>
    <w:rsid w:val="11EA7047"/>
    <w:rsid w:val="12046FD4"/>
    <w:rsid w:val="1246139A"/>
    <w:rsid w:val="12633CFA"/>
    <w:rsid w:val="127708C7"/>
    <w:rsid w:val="127E0B34"/>
    <w:rsid w:val="12974990"/>
    <w:rsid w:val="12AA19A0"/>
    <w:rsid w:val="12CF5853"/>
    <w:rsid w:val="12F26FCE"/>
    <w:rsid w:val="12FB03D7"/>
    <w:rsid w:val="13141EC1"/>
    <w:rsid w:val="13161C63"/>
    <w:rsid w:val="13CC1D73"/>
    <w:rsid w:val="13CE6CCE"/>
    <w:rsid w:val="13E175CD"/>
    <w:rsid w:val="13F54834"/>
    <w:rsid w:val="144F780E"/>
    <w:rsid w:val="146A3A0B"/>
    <w:rsid w:val="15035442"/>
    <w:rsid w:val="15121A08"/>
    <w:rsid w:val="155B49A1"/>
    <w:rsid w:val="157240D0"/>
    <w:rsid w:val="158A63F2"/>
    <w:rsid w:val="15915022"/>
    <w:rsid w:val="15E2587E"/>
    <w:rsid w:val="1629096C"/>
    <w:rsid w:val="16311102"/>
    <w:rsid w:val="16917C74"/>
    <w:rsid w:val="16BA5DB8"/>
    <w:rsid w:val="16C87A3E"/>
    <w:rsid w:val="16C943D5"/>
    <w:rsid w:val="16D9191F"/>
    <w:rsid w:val="16DE30BD"/>
    <w:rsid w:val="16EC67AE"/>
    <w:rsid w:val="16F854B3"/>
    <w:rsid w:val="170B4961"/>
    <w:rsid w:val="170F26A3"/>
    <w:rsid w:val="17391E88"/>
    <w:rsid w:val="173A1659"/>
    <w:rsid w:val="173B6FF4"/>
    <w:rsid w:val="178635D6"/>
    <w:rsid w:val="17887D5F"/>
    <w:rsid w:val="17B423BF"/>
    <w:rsid w:val="183F1D57"/>
    <w:rsid w:val="18561C0B"/>
    <w:rsid w:val="18722EE9"/>
    <w:rsid w:val="18911258"/>
    <w:rsid w:val="189B3AC2"/>
    <w:rsid w:val="18C354F3"/>
    <w:rsid w:val="18CE634F"/>
    <w:rsid w:val="194E0845"/>
    <w:rsid w:val="19A433AA"/>
    <w:rsid w:val="19BE7C49"/>
    <w:rsid w:val="19CE4996"/>
    <w:rsid w:val="19E21103"/>
    <w:rsid w:val="19ED659F"/>
    <w:rsid w:val="1A7F5449"/>
    <w:rsid w:val="1A9A6727"/>
    <w:rsid w:val="1AA8115B"/>
    <w:rsid w:val="1AC35C7E"/>
    <w:rsid w:val="1B346575"/>
    <w:rsid w:val="1B7C712F"/>
    <w:rsid w:val="1BAF0CD9"/>
    <w:rsid w:val="1BCB44A6"/>
    <w:rsid w:val="1BDB2B53"/>
    <w:rsid w:val="1C450915"/>
    <w:rsid w:val="1C905D5F"/>
    <w:rsid w:val="1CBA3DA3"/>
    <w:rsid w:val="1CC05B36"/>
    <w:rsid w:val="1CEB4B27"/>
    <w:rsid w:val="1D0B79E9"/>
    <w:rsid w:val="1D13456F"/>
    <w:rsid w:val="1D14783F"/>
    <w:rsid w:val="1D277E4F"/>
    <w:rsid w:val="1D801C57"/>
    <w:rsid w:val="1DC7696E"/>
    <w:rsid w:val="1DD60823"/>
    <w:rsid w:val="1E69544E"/>
    <w:rsid w:val="1E7F3B5D"/>
    <w:rsid w:val="1E9D223F"/>
    <w:rsid w:val="1EB07A27"/>
    <w:rsid w:val="1F0B3750"/>
    <w:rsid w:val="1F1F3A88"/>
    <w:rsid w:val="1F8E3AB0"/>
    <w:rsid w:val="1FD51490"/>
    <w:rsid w:val="1FEA3D95"/>
    <w:rsid w:val="1FF31AF9"/>
    <w:rsid w:val="20014B53"/>
    <w:rsid w:val="200843F5"/>
    <w:rsid w:val="203B11B1"/>
    <w:rsid w:val="208919BB"/>
    <w:rsid w:val="2096173F"/>
    <w:rsid w:val="20C718F8"/>
    <w:rsid w:val="21102941"/>
    <w:rsid w:val="211B1C44"/>
    <w:rsid w:val="215C356A"/>
    <w:rsid w:val="2168725F"/>
    <w:rsid w:val="218D625E"/>
    <w:rsid w:val="21DF03CF"/>
    <w:rsid w:val="21E169EA"/>
    <w:rsid w:val="21FB093B"/>
    <w:rsid w:val="22274D44"/>
    <w:rsid w:val="223263F7"/>
    <w:rsid w:val="22396826"/>
    <w:rsid w:val="22530CBB"/>
    <w:rsid w:val="227B1683"/>
    <w:rsid w:val="22BD7457"/>
    <w:rsid w:val="22D24D9C"/>
    <w:rsid w:val="230E380E"/>
    <w:rsid w:val="232E2103"/>
    <w:rsid w:val="2338088B"/>
    <w:rsid w:val="235D4796"/>
    <w:rsid w:val="236D60F1"/>
    <w:rsid w:val="239301B8"/>
    <w:rsid w:val="23B86C80"/>
    <w:rsid w:val="23D7572A"/>
    <w:rsid w:val="23FE64DD"/>
    <w:rsid w:val="244119C2"/>
    <w:rsid w:val="245A1FDC"/>
    <w:rsid w:val="247E3C8E"/>
    <w:rsid w:val="24975A86"/>
    <w:rsid w:val="24AA41F4"/>
    <w:rsid w:val="24CF521F"/>
    <w:rsid w:val="24CF7DCE"/>
    <w:rsid w:val="25303082"/>
    <w:rsid w:val="25441C00"/>
    <w:rsid w:val="25826736"/>
    <w:rsid w:val="25A05B34"/>
    <w:rsid w:val="25A12DD9"/>
    <w:rsid w:val="25D113A5"/>
    <w:rsid w:val="25ED0053"/>
    <w:rsid w:val="25FC46AF"/>
    <w:rsid w:val="25FD0A32"/>
    <w:rsid w:val="26190E48"/>
    <w:rsid w:val="26D11723"/>
    <w:rsid w:val="26D64CAA"/>
    <w:rsid w:val="273A2BA5"/>
    <w:rsid w:val="275424A9"/>
    <w:rsid w:val="279C1B1F"/>
    <w:rsid w:val="27F33C7F"/>
    <w:rsid w:val="28BD6603"/>
    <w:rsid w:val="28D04587"/>
    <w:rsid w:val="28E45951"/>
    <w:rsid w:val="290D27BA"/>
    <w:rsid w:val="29606D8E"/>
    <w:rsid w:val="29883BEF"/>
    <w:rsid w:val="299C6289"/>
    <w:rsid w:val="29C54E43"/>
    <w:rsid w:val="29CE5AA6"/>
    <w:rsid w:val="2A1461C3"/>
    <w:rsid w:val="2A396CE3"/>
    <w:rsid w:val="2A57783B"/>
    <w:rsid w:val="2A5C1303"/>
    <w:rsid w:val="2A604045"/>
    <w:rsid w:val="2A830F86"/>
    <w:rsid w:val="2A877DDE"/>
    <w:rsid w:val="2A93222D"/>
    <w:rsid w:val="2B486052"/>
    <w:rsid w:val="2BAB62A9"/>
    <w:rsid w:val="2BBF3437"/>
    <w:rsid w:val="2C187507"/>
    <w:rsid w:val="2C774602"/>
    <w:rsid w:val="2D142369"/>
    <w:rsid w:val="2D3D14EB"/>
    <w:rsid w:val="2D5E35E4"/>
    <w:rsid w:val="2D962D7E"/>
    <w:rsid w:val="2D962E80"/>
    <w:rsid w:val="2D99461C"/>
    <w:rsid w:val="2DD03E3F"/>
    <w:rsid w:val="2E5277D8"/>
    <w:rsid w:val="2E552C39"/>
    <w:rsid w:val="2E6B420B"/>
    <w:rsid w:val="2E7608AB"/>
    <w:rsid w:val="2E8D23D3"/>
    <w:rsid w:val="2EB21578"/>
    <w:rsid w:val="2EB3176D"/>
    <w:rsid w:val="2EB709FA"/>
    <w:rsid w:val="2EC456C9"/>
    <w:rsid w:val="2ECB4CA9"/>
    <w:rsid w:val="2ED61D49"/>
    <w:rsid w:val="2F1B71CF"/>
    <w:rsid w:val="2F31494A"/>
    <w:rsid w:val="2F383732"/>
    <w:rsid w:val="2F6678EA"/>
    <w:rsid w:val="2F7B1BAE"/>
    <w:rsid w:val="30337484"/>
    <w:rsid w:val="3044418E"/>
    <w:rsid w:val="309F63EE"/>
    <w:rsid w:val="30A734F4"/>
    <w:rsid w:val="30BF058C"/>
    <w:rsid w:val="30DA221E"/>
    <w:rsid w:val="318850D4"/>
    <w:rsid w:val="318D4498"/>
    <w:rsid w:val="319E48F7"/>
    <w:rsid w:val="31DA3AEF"/>
    <w:rsid w:val="31E3055C"/>
    <w:rsid w:val="3291620A"/>
    <w:rsid w:val="32933D30"/>
    <w:rsid w:val="32981BA7"/>
    <w:rsid w:val="32A352C3"/>
    <w:rsid w:val="32FA3DAF"/>
    <w:rsid w:val="33505792"/>
    <w:rsid w:val="337F39B4"/>
    <w:rsid w:val="3384667D"/>
    <w:rsid w:val="33B977C6"/>
    <w:rsid w:val="341E1D1F"/>
    <w:rsid w:val="34F9710B"/>
    <w:rsid w:val="35066379"/>
    <w:rsid w:val="352B7E8E"/>
    <w:rsid w:val="3546508A"/>
    <w:rsid w:val="359758E5"/>
    <w:rsid w:val="359A53D6"/>
    <w:rsid w:val="35E27EA9"/>
    <w:rsid w:val="35EF127D"/>
    <w:rsid w:val="362D5E70"/>
    <w:rsid w:val="362F1FC2"/>
    <w:rsid w:val="36897924"/>
    <w:rsid w:val="36C95F72"/>
    <w:rsid w:val="36D14E27"/>
    <w:rsid w:val="371140A5"/>
    <w:rsid w:val="371207B5"/>
    <w:rsid w:val="37171623"/>
    <w:rsid w:val="37386C54"/>
    <w:rsid w:val="37500271"/>
    <w:rsid w:val="376513F0"/>
    <w:rsid w:val="37A83DDA"/>
    <w:rsid w:val="37C87FD8"/>
    <w:rsid w:val="37EF4766"/>
    <w:rsid w:val="385B7B81"/>
    <w:rsid w:val="38A50ED6"/>
    <w:rsid w:val="38BE762D"/>
    <w:rsid w:val="39203900"/>
    <w:rsid w:val="3928167E"/>
    <w:rsid w:val="395C1CA2"/>
    <w:rsid w:val="39630342"/>
    <w:rsid w:val="3977412D"/>
    <w:rsid w:val="398C590D"/>
    <w:rsid w:val="39F01A68"/>
    <w:rsid w:val="39FB3138"/>
    <w:rsid w:val="3A0D63B9"/>
    <w:rsid w:val="3A1A0893"/>
    <w:rsid w:val="3AC151B3"/>
    <w:rsid w:val="3AD82320"/>
    <w:rsid w:val="3B471B5C"/>
    <w:rsid w:val="3B6127C8"/>
    <w:rsid w:val="3BFB3DD6"/>
    <w:rsid w:val="3C1E0B0E"/>
    <w:rsid w:val="3CB73A7B"/>
    <w:rsid w:val="3CBA3724"/>
    <w:rsid w:val="3CE12FE1"/>
    <w:rsid w:val="3CEC3BF0"/>
    <w:rsid w:val="3D1B504E"/>
    <w:rsid w:val="3DCD69E2"/>
    <w:rsid w:val="3E491BEA"/>
    <w:rsid w:val="3E6941DE"/>
    <w:rsid w:val="3EC62D97"/>
    <w:rsid w:val="3EE41662"/>
    <w:rsid w:val="3F0922E5"/>
    <w:rsid w:val="3F52278B"/>
    <w:rsid w:val="3F9904AC"/>
    <w:rsid w:val="3FB004F7"/>
    <w:rsid w:val="3FC512A1"/>
    <w:rsid w:val="3FF57DD8"/>
    <w:rsid w:val="40504E37"/>
    <w:rsid w:val="405E3272"/>
    <w:rsid w:val="40923879"/>
    <w:rsid w:val="40A42D45"/>
    <w:rsid w:val="40C71F4C"/>
    <w:rsid w:val="40E75429"/>
    <w:rsid w:val="41042219"/>
    <w:rsid w:val="411E6EBB"/>
    <w:rsid w:val="41553248"/>
    <w:rsid w:val="417328DE"/>
    <w:rsid w:val="41EF6EB5"/>
    <w:rsid w:val="42B84786"/>
    <w:rsid w:val="42CA1803"/>
    <w:rsid w:val="43910F3B"/>
    <w:rsid w:val="439E2535"/>
    <w:rsid w:val="442318CF"/>
    <w:rsid w:val="44557C47"/>
    <w:rsid w:val="44CA3141"/>
    <w:rsid w:val="45081646"/>
    <w:rsid w:val="45191BF7"/>
    <w:rsid w:val="45325E9E"/>
    <w:rsid w:val="455E3D2A"/>
    <w:rsid w:val="46771813"/>
    <w:rsid w:val="46892EFB"/>
    <w:rsid w:val="468C2B4D"/>
    <w:rsid w:val="46AA359E"/>
    <w:rsid w:val="46FE18DA"/>
    <w:rsid w:val="477B44E0"/>
    <w:rsid w:val="47DC187E"/>
    <w:rsid w:val="47E641C2"/>
    <w:rsid w:val="47FE7A46"/>
    <w:rsid w:val="48146B46"/>
    <w:rsid w:val="487C235B"/>
    <w:rsid w:val="48CB0489"/>
    <w:rsid w:val="48D10CB7"/>
    <w:rsid w:val="48FC1717"/>
    <w:rsid w:val="4957740E"/>
    <w:rsid w:val="49CD147E"/>
    <w:rsid w:val="4A301A0D"/>
    <w:rsid w:val="4A45370A"/>
    <w:rsid w:val="4A730A81"/>
    <w:rsid w:val="4A802994"/>
    <w:rsid w:val="4A916094"/>
    <w:rsid w:val="4AE50A49"/>
    <w:rsid w:val="4B09298A"/>
    <w:rsid w:val="4B271062"/>
    <w:rsid w:val="4B46773A"/>
    <w:rsid w:val="4B697D1F"/>
    <w:rsid w:val="4B9366F7"/>
    <w:rsid w:val="4BED4059"/>
    <w:rsid w:val="4BF453E8"/>
    <w:rsid w:val="4C0C1F87"/>
    <w:rsid w:val="4C3E0E51"/>
    <w:rsid w:val="4C4243A5"/>
    <w:rsid w:val="4C9642B2"/>
    <w:rsid w:val="4CB33B8F"/>
    <w:rsid w:val="4CC1570B"/>
    <w:rsid w:val="4CE70AA9"/>
    <w:rsid w:val="4CF53F5B"/>
    <w:rsid w:val="4D083ED2"/>
    <w:rsid w:val="4D2A1817"/>
    <w:rsid w:val="4D362EE1"/>
    <w:rsid w:val="4DCA28A4"/>
    <w:rsid w:val="4DD523FB"/>
    <w:rsid w:val="4E832A53"/>
    <w:rsid w:val="4EC969CC"/>
    <w:rsid w:val="4ED70169"/>
    <w:rsid w:val="4ED77978"/>
    <w:rsid w:val="4F49480A"/>
    <w:rsid w:val="4F4E41CF"/>
    <w:rsid w:val="4FBA34DD"/>
    <w:rsid w:val="4FDF015D"/>
    <w:rsid w:val="50461F8A"/>
    <w:rsid w:val="504C02BF"/>
    <w:rsid w:val="50597248"/>
    <w:rsid w:val="50923421"/>
    <w:rsid w:val="50976C04"/>
    <w:rsid w:val="50A51C08"/>
    <w:rsid w:val="50AB6155"/>
    <w:rsid w:val="50BB172C"/>
    <w:rsid w:val="50D01C24"/>
    <w:rsid w:val="50F25C6E"/>
    <w:rsid w:val="51020E71"/>
    <w:rsid w:val="51481364"/>
    <w:rsid w:val="51534795"/>
    <w:rsid w:val="5186465E"/>
    <w:rsid w:val="519C4558"/>
    <w:rsid w:val="51A76A58"/>
    <w:rsid w:val="52176253"/>
    <w:rsid w:val="522E0F28"/>
    <w:rsid w:val="52465B9C"/>
    <w:rsid w:val="52666914"/>
    <w:rsid w:val="52D03C5E"/>
    <w:rsid w:val="52D3730D"/>
    <w:rsid w:val="52E74848"/>
    <w:rsid w:val="52E971EF"/>
    <w:rsid w:val="530879CB"/>
    <w:rsid w:val="53662C69"/>
    <w:rsid w:val="539B25ED"/>
    <w:rsid w:val="53AB0D81"/>
    <w:rsid w:val="53BF0089"/>
    <w:rsid w:val="54213C7F"/>
    <w:rsid w:val="5463135D"/>
    <w:rsid w:val="54D15DC5"/>
    <w:rsid w:val="552D3719"/>
    <w:rsid w:val="55326F81"/>
    <w:rsid w:val="55EA33B8"/>
    <w:rsid w:val="56044479"/>
    <w:rsid w:val="56847368"/>
    <w:rsid w:val="56E3440A"/>
    <w:rsid w:val="573B036F"/>
    <w:rsid w:val="575329D5"/>
    <w:rsid w:val="57BD6FD6"/>
    <w:rsid w:val="57C70A95"/>
    <w:rsid w:val="57CC546B"/>
    <w:rsid w:val="585B0226"/>
    <w:rsid w:val="58737694"/>
    <w:rsid w:val="587D0513"/>
    <w:rsid w:val="5894179C"/>
    <w:rsid w:val="58F509F1"/>
    <w:rsid w:val="59E11E05"/>
    <w:rsid w:val="5A020049"/>
    <w:rsid w:val="5A6E3EE3"/>
    <w:rsid w:val="5A987886"/>
    <w:rsid w:val="5AFF5784"/>
    <w:rsid w:val="5B224E28"/>
    <w:rsid w:val="5B5C238A"/>
    <w:rsid w:val="5B7D3E40"/>
    <w:rsid w:val="5BAB5397"/>
    <w:rsid w:val="5BB9451A"/>
    <w:rsid w:val="5C0663CC"/>
    <w:rsid w:val="5C403417"/>
    <w:rsid w:val="5C9347A9"/>
    <w:rsid w:val="5CA4525C"/>
    <w:rsid w:val="5D213B63"/>
    <w:rsid w:val="5D281862"/>
    <w:rsid w:val="5D301FF8"/>
    <w:rsid w:val="5D746389"/>
    <w:rsid w:val="5D802FF1"/>
    <w:rsid w:val="5D8F6D1E"/>
    <w:rsid w:val="5D937D34"/>
    <w:rsid w:val="5DCE3E64"/>
    <w:rsid w:val="5DF52041"/>
    <w:rsid w:val="5E134CE3"/>
    <w:rsid w:val="5E14191A"/>
    <w:rsid w:val="5E15112E"/>
    <w:rsid w:val="5E344684"/>
    <w:rsid w:val="5E4F2952"/>
    <w:rsid w:val="5E9842F9"/>
    <w:rsid w:val="5F23058C"/>
    <w:rsid w:val="5F506981"/>
    <w:rsid w:val="5FE550F4"/>
    <w:rsid w:val="603B2633"/>
    <w:rsid w:val="60AC112E"/>
    <w:rsid w:val="60D11363"/>
    <w:rsid w:val="60F63558"/>
    <w:rsid w:val="610E7639"/>
    <w:rsid w:val="61204131"/>
    <w:rsid w:val="612400C6"/>
    <w:rsid w:val="613F6CAD"/>
    <w:rsid w:val="616D55C9"/>
    <w:rsid w:val="61803709"/>
    <w:rsid w:val="619F599E"/>
    <w:rsid w:val="61BB521F"/>
    <w:rsid w:val="61D2367E"/>
    <w:rsid w:val="61F45CEA"/>
    <w:rsid w:val="62243F99"/>
    <w:rsid w:val="62621618"/>
    <w:rsid w:val="6264175C"/>
    <w:rsid w:val="62DA7E4B"/>
    <w:rsid w:val="63181564"/>
    <w:rsid w:val="6320666B"/>
    <w:rsid w:val="63224191"/>
    <w:rsid w:val="63411921"/>
    <w:rsid w:val="634531C1"/>
    <w:rsid w:val="63464323"/>
    <w:rsid w:val="6381535B"/>
    <w:rsid w:val="63AB73E0"/>
    <w:rsid w:val="63D7431B"/>
    <w:rsid w:val="63EF5D46"/>
    <w:rsid w:val="640D62B2"/>
    <w:rsid w:val="640E2967"/>
    <w:rsid w:val="641E704E"/>
    <w:rsid w:val="64356228"/>
    <w:rsid w:val="64630F05"/>
    <w:rsid w:val="65191C96"/>
    <w:rsid w:val="651E13D4"/>
    <w:rsid w:val="65262602"/>
    <w:rsid w:val="65D91168"/>
    <w:rsid w:val="65F31BDB"/>
    <w:rsid w:val="6615622F"/>
    <w:rsid w:val="662479EE"/>
    <w:rsid w:val="662E26D5"/>
    <w:rsid w:val="664D59C9"/>
    <w:rsid w:val="665E7BD6"/>
    <w:rsid w:val="66754F1F"/>
    <w:rsid w:val="668A6BA4"/>
    <w:rsid w:val="66935F55"/>
    <w:rsid w:val="66A84033"/>
    <w:rsid w:val="66BA707E"/>
    <w:rsid w:val="66BE0674"/>
    <w:rsid w:val="66E6284F"/>
    <w:rsid w:val="66EB225F"/>
    <w:rsid w:val="670E33AA"/>
    <w:rsid w:val="672B0B51"/>
    <w:rsid w:val="679D362F"/>
    <w:rsid w:val="679D4037"/>
    <w:rsid w:val="67D87514"/>
    <w:rsid w:val="685B2CC2"/>
    <w:rsid w:val="68A1024E"/>
    <w:rsid w:val="68B95597"/>
    <w:rsid w:val="69392234"/>
    <w:rsid w:val="695B21AB"/>
    <w:rsid w:val="69CA10DE"/>
    <w:rsid w:val="69EF42C3"/>
    <w:rsid w:val="69F148BD"/>
    <w:rsid w:val="6A050368"/>
    <w:rsid w:val="6AFE54E3"/>
    <w:rsid w:val="6B1C05BE"/>
    <w:rsid w:val="6B28106D"/>
    <w:rsid w:val="6B534085"/>
    <w:rsid w:val="6B550E3F"/>
    <w:rsid w:val="6B7834E8"/>
    <w:rsid w:val="6B9143EA"/>
    <w:rsid w:val="6C0E34CC"/>
    <w:rsid w:val="6C251FBB"/>
    <w:rsid w:val="6C5E5AB6"/>
    <w:rsid w:val="6C7166AB"/>
    <w:rsid w:val="6C8D4D71"/>
    <w:rsid w:val="6CD92286"/>
    <w:rsid w:val="6D333A34"/>
    <w:rsid w:val="6D452A01"/>
    <w:rsid w:val="6DEC1F6B"/>
    <w:rsid w:val="6E1014A2"/>
    <w:rsid w:val="6E1119D2"/>
    <w:rsid w:val="6E171023"/>
    <w:rsid w:val="6E721D27"/>
    <w:rsid w:val="6F0B4673"/>
    <w:rsid w:val="6F35349E"/>
    <w:rsid w:val="6F48029A"/>
    <w:rsid w:val="6F5B10D8"/>
    <w:rsid w:val="6F9311E9"/>
    <w:rsid w:val="7006011B"/>
    <w:rsid w:val="7055028A"/>
    <w:rsid w:val="70700C31"/>
    <w:rsid w:val="708816D8"/>
    <w:rsid w:val="709155D5"/>
    <w:rsid w:val="70A64653"/>
    <w:rsid w:val="70D11B64"/>
    <w:rsid w:val="70D416DF"/>
    <w:rsid w:val="70D859B1"/>
    <w:rsid w:val="70DA254F"/>
    <w:rsid w:val="70E84C6C"/>
    <w:rsid w:val="710E7FB7"/>
    <w:rsid w:val="71357785"/>
    <w:rsid w:val="713E7AE3"/>
    <w:rsid w:val="71461992"/>
    <w:rsid w:val="71557E27"/>
    <w:rsid w:val="716F2C97"/>
    <w:rsid w:val="7178644A"/>
    <w:rsid w:val="71AA3CCF"/>
    <w:rsid w:val="71AC3EEB"/>
    <w:rsid w:val="71B72890"/>
    <w:rsid w:val="720A212A"/>
    <w:rsid w:val="72492FFB"/>
    <w:rsid w:val="725D0ACA"/>
    <w:rsid w:val="729C452E"/>
    <w:rsid w:val="729C5DE0"/>
    <w:rsid w:val="73107A1B"/>
    <w:rsid w:val="737D4B7B"/>
    <w:rsid w:val="73813156"/>
    <w:rsid w:val="73845482"/>
    <w:rsid w:val="738F5872"/>
    <w:rsid w:val="73E84F83"/>
    <w:rsid w:val="73FB2F08"/>
    <w:rsid w:val="74804EA6"/>
    <w:rsid w:val="750556C0"/>
    <w:rsid w:val="76053BCA"/>
    <w:rsid w:val="760905A3"/>
    <w:rsid w:val="7633736D"/>
    <w:rsid w:val="763B3A90"/>
    <w:rsid w:val="76643F31"/>
    <w:rsid w:val="76C16A27"/>
    <w:rsid w:val="76D358F0"/>
    <w:rsid w:val="76E557A9"/>
    <w:rsid w:val="76E925A5"/>
    <w:rsid w:val="76F51E90"/>
    <w:rsid w:val="77011742"/>
    <w:rsid w:val="771B1C48"/>
    <w:rsid w:val="77567082"/>
    <w:rsid w:val="779A647C"/>
    <w:rsid w:val="77D53A70"/>
    <w:rsid w:val="77D71596"/>
    <w:rsid w:val="77E3618D"/>
    <w:rsid w:val="78141B92"/>
    <w:rsid w:val="78283BA0"/>
    <w:rsid w:val="78572DD4"/>
    <w:rsid w:val="78632C3D"/>
    <w:rsid w:val="78A51D33"/>
    <w:rsid w:val="78EC3915"/>
    <w:rsid w:val="79151824"/>
    <w:rsid w:val="792A1DEA"/>
    <w:rsid w:val="79334EF2"/>
    <w:rsid w:val="798A5E30"/>
    <w:rsid w:val="79F53F55"/>
    <w:rsid w:val="7A1B7E60"/>
    <w:rsid w:val="7A604A29"/>
    <w:rsid w:val="7A6051C4"/>
    <w:rsid w:val="7AE0084F"/>
    <w:rsid w:val="7AFE6E3A"/>
    <w:rsid w:val="7B000E04"/>
    <w:rsid w:val="7B05641A"/>
    <w:rsid w:val="7B0663E0"/>
    <w:rsid w:val="7B4873B4"/>
    <w:rsid w:val="7B511A79"/>
    <w:rsid w:val="7B706CA7"/>
    <w:rsid w:val="7B7352C3"/>
    <w:rsid w:val="7B8A305E"/>
    <w:rsid w:val="7B937C52"/>
    <w:rsid w:val="7BA66973"/>
    <w:rsid w:val="7BE52EB9"/>
    <w:rsid w:val="7BE60DA5"/>
    <w:rsid w:val="7C06244A"/>
    <w:rsid w:val="7C084414"/>
    <w:rsid w:val="7C12462D"/>
    <w:rsid w:val="7C3224BA"/>
    <w:rsid w:val="7C5F1B82"/>
    <w:rsid w:val="7CBC6344"/>
    <w:rsid w:val="7D032E2D"/>
    <w:rsid w:val="7D327DB0"/>
    <w:rsid w:val="7D8C2E23"/>
    <w:rsid w:val="7DD303DA"/>
    <w:rsid w:val="7DFA225B"/>
    <w:rsid w:val="7E156974"/>
    <w:rsid w:val="7E402EFE"/>
    <w:rsid w:val="7E680CC6"/>
    <w:rsid w:val="7E6B0C8A"/>
    <w:rsid w:val="7E9417C7"/>
    <w:rsid w:val="7EA771E6"/>
    <w:rsid w:val="7EAA1510"/>
    <w:rsid w:val="7EAF6DC9"/>
    <w:rsid w:val="7EB01E2E"/>
    <w:rsid w:val="7EF020BD"/>
    <w:rsid w:val="7F1051F1"/>
    <w:rsid w:val="7F187DBF"/>
    <w:rsid w:val="7F986DEB"/>
    <w:rsid w:val="7FA74F59"/>
    <w:rsid w:val="7FB8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5"/>
    <w:qFormat/>
    <w:uiPriority w:val="0"/>
    <w:pPr>
      <w:widowControl/>
      <w:kinsoku w:val="0"/>
      <w:autoSpaceDE w:val="0"/>
      <w:autoSpaceDN w:val="0"/>
      <w:adjustRightInd w:val="0"/>
      <w:snapToGrid w:val="0"/>
      <w:jc w:val="left"/>
    </w:pPr>
    <w:rPr>
      <w:rFonts w:hint="eastAsia" w:ascii="宋体" w:hAnsi="宋体" w:eastAsia="宋体" w:cs="Times New Roman"/>
      <w:color w:val="000000"/>
      <w:kern w:val="0"/>
      <w:sz w:val="32"/>
      <w:szCs w:val="32"/>
    </w:rPr>
  </w:style>
  <w:style w:type="paragraph" w:customStyle="1" w:styleId="3">
    <w:name w:val="Default"/>
    <w:qFormat/>
    <w:uiPriority w:val="0"/>
    <w:pPr>
      <w:widowControl w:val="0"/>
      <w:autoSpaceDE w:val="0"/>
      <w:autoSpaceDN w:val="0"/>
      <w:adjustRightInd w:val="0"/>
    </w:pPr>
    <w:rPr>
      <w:rFonts w:ascii="幼圆" w:hAnsi="Times New Roman" w:eastAsia="幼圆" w:cs="幼圆"/>
      <w:color w:val="000000"/>
      <w:sz w:val="24"/>
      <w:szCs w:val="24"/>
      <w:lang w:val="en-US" w:eastAsia="zh-CN" w:bidi="ar-SA"/>
    </w:rPr>
  </w:style>
  <w:style w:type="paragraph" w:styleId="4">
    <w:name w:val="Normal Indent"/>
    <w:basedOn w:val="1"/>
    <w:next w:val="1"/>
    <w:qFormat/>
    <w:uiPriority w:val="0"/>
    <w:pPr>
      <w:spacing w:line="360" w:lineRule="auto"/>
      <w:ind w:firstLine="880" w:firstLineChars="200"/>
    </w:pPr>
  </w:style>
  <w:style w:type="paragraph" w:styleId="5">
    <w:name w:val="Plain Text"/>
    <w:basedOn w:val="1"/>
    <w:qFormat/>
    <w:uiPriority w:val="0"/>
    <w:rPr>
      <w:rFonts w:ascii="宋体" w:hAnsi="宋体"/>
      <w:kern w:val="1"/>
      <w:szCs w:val="20"/>
    </w:rPr>
  </w:style>
  <w:style w:type="paragraph" w:styleId="6">
    <w:name w:val="footer"/>
    <w:basedOn w:val="1"/>
    <w:link w:val="13"/>
    <w:qFormat/>
    <w:uiPriority w:val="0"/>
    <w:pPr>
      <w:tabs>
        <w:tab w:val="center" w:pos="4153"/>
        <w:tab w:val="right" w:pos="8306"/>
      </w:tabs>
      <w:snapToGrid w:val="0"/>
      <w:jc w:val="left"/>
    </w:pPr>
    <w:rPr>
      <w:sz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2"/>
    <w:basedOn w:val="1"/>
    <w:qFormat/>
    <w:uiPriority w:val="0"/>
    <w:pPr>
      <w:jc w:val="center"/>
    </w:pPr>
    <w:rPr>
      <w:kern w:val="1"/>
      <w:sz w:val="2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character" w:customStyle="1" w:styleId="13">
    <w:name w:val="页脚 字符"/>
    <w:basedOn w:val="11"/>
    <w:link w:val="6"/>
    <w:qFormat/>
    <w:uiPriority w:val="0"/>
    <w:rPr>
      <w:color w:val="000000"/>
      <w:sz w:val="18"/>
      <w:szCs w:val="18"/>
    </w:rPr>
  </w:style>
  <w:style w:type="paragraph" w:customStyle="1" w:styleId="14">
    <w:name w:val="Text"/>
    <w:basedOn w:val="1"/>
    <w:qFormat/>
    <w:uiPriority w:val="0"/>
    <w:pPr>
      <w:widowControl/>
      <w:spacing w:line="314" w:lineRule="auto"/>
      <w:jc w:val="left"/>
    </w:pPr>
    <w:rPr>
      <w:rFonts w:hint="eastAsia" w:ascii="宋体" w:hAnsi="宋体" w:eastAsia="宋体" w:cs="Times New Roman"/>
      <w:color w:val="000000"/>
      <w:kern w:val="0"/>
      <w:szCs w:val="20"/>
    </w:rPr>
  </w:style>
  <w:style w:type="character" w:customStyle="1" w:styleId="15">
    <w:name w:val="正文文本 字符"/>
    <w:basedOn w:val="11"/>
    <w:link w:val="2"/>
    <w:qFormat/>
    <w:uiPriority w:val="0"/>
    <w:rPr>
      <w:rFonts w:hint="eastAsia" w:ascii="宋体" w:hAnsi="宋体" w:eastAsia="宋体" w:cs="宋体"/>
      <w:sz w:val="32"/>
      <w:szCs w:val="32"/>
    </w:rPr>
  </w:style>
  <w:style w:type="character" w:customStyle="1" w:styleId="16">
    <w:name w:val="页眉 字符"/>
    <w:basedOn w:val="11"/>
    <w:link w:val="7"/>
    <w:qFormat/>
    <w:uiPriority w:val="0"/>
    <w:rPr>
      <w:rFonts w:asciiTheme="minorHAnsi" w:hAnsiTheme="minorHAnsi" w:eastAsiaTheme="minorEastAsia" w:cstheme="minorBidi"/>
      <w:kern w:val="2"/>
      <w:sz w:val="18"/>
      <w:szCs w:val="18"/>
    </w:rPr>
  </w:style>
  <w:style w:type="character" w:customStyle="1" w:styleId="17">
    <w:name w:val="font31"/>
    <w:basedOn w:val="11"/>
    <w:qFormat/>
    <w:uiPriority w:val="0"/>
    <w:rPr>
      <w:rFonts w:hint="eastAsia" w:ascii="宋体" w:hAnsi="宋体" w:eastAsia="宋体" w:cs="宋体"/>
      <w:b/>
      <w:bCs/>
      <w:color w:val="000000"/>
      <w:sz w:val="22"/>
      <w:szCs w:val="22"/>
      <w:u w:val="none"/>
    </w:rPr>
  </w:style>
  <w:style w:type="character" w:customStyle="1" w:styleId="18">
    <w:name w:val="font11"/>
    <w:basedOn w:val="11"/>
    <w:qFormat/>
    <w:uiPriority w:val="0"/>
    <w:rPr>
      <w:rFonts w:hint="eastAsia" w:ascii="宋体" w:hAnsi="宋体" w:eastAsia="宋体" w:cs="宋体"/>
      <w:color w:val="000000"/>
      <w:sz w:val="22"/>
      <w:szCs w:val="22"/>
      <w:u w:val="none"/>
    </w:rPr>
  </w:style>
  <w:style w:type="character" w:customStyle="1" w:styleId="19">
    <w:name w:val="font41"/>
    <w:basedOn w:val="11"/>
    <w:qFormat/>
    <w:uiPriority w:val="0"/>
    <w:rPr>
      <w:rFonts w:hint="eastAsia" w:ascii="宋体" w:hAnsi="宋体" w:eastAsia="宋体" w:cs="宋体"/>
      <w:b/>
      <w:bCs/>
      <w:color w:val="000000"/>
      <w:sz w:val="20"/>
      <w:szCs w:val="20"/>
      <w:u w:val="none"/>
    </w:rPr>
  </w:style>
  <w:style w:type="character" w:customStyle="1" w:styleId="20">
    <w:name w:val="font21"/>
    <w:basedOn w:val="11"/>
    <w:qFormat/>
    <w:uiPriority w:val="0"/>
    <w:rPr>
      <w:rFonts w:hint="eastAsia" w:ascii="宋体" w:hAnsi="宋体" w:eastAsia="宋体" w:cs="宋体"/>
      <w:color w:val="000000"/>
      <w:sz w:val="20"/>
      <w:szCs w:val="20"/>
      <w:u w:val="none"/>
    </w:rPr>
  </w:style>
  <w:style w:type="paragraph" w:customStyle="1" w:styleId="21">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8654</Words>
  <Characters>8869</Characters>
  <Lines>67</Lines>
  <Paragraphs>19</Paragraphs>
  <TotalTime>1</TotalTime>
  <ScaleCrop>false</ScaleCrop>
  <LinksUpToDate>false</LinksUpToDate>
  <CharactersWithSpaces>8944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2025-09-05T04:41:00Z</dcterms:created>
  <dc:creator>CGB-ZZ</dc:creator>
  <cp:lastModifiedBy>曹毅</cp:lastModifiedBy>
  <cp:lastPrinted>2025-12-02T01:13:00Z</cp:lastPrinted>
  <dcterms:modified xsi:type="dcterms:W3CDTF">2026-10-30T03:20:08Z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CDD0C46F7AE74FFC92512C8083D080C1</vt:lpwstr>
  </property>
  <property fmtid="{D5CDD505-2E9C-101B-9397-08002B2CF9AE}" pid="4" name="KSOTemplateDocerSaveRecord">
    <vt:lpwstr>eyJoZGlkIjoiMzQ3YzNlYjBkOTVkMzZhNzllNDkzYjI0NTZhZGUxNmIiLCJ1c2VySWQiOiI2MTE5Nzg3ODUifQ==</vt:lpwstr>
  </property>
</Properties>
</file>