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2"/>
          <w:szCs w:val="28"/>
        </w:rPr>
      </w:pPr>
      <w:r>
        <w:rPr>
          <w:rFonts w:hint="eastAsia" w:ascii="黑体" w:hAnsi="宋体" w:eastAsia="黑体"/>
          <w:b/>
          <w:bCs/>
          <w:sz w:val="48"/>
          <w:szCs w:val="28"/>
        </w:rPr>
        <w:t>安徽省亳州煤业有限公司信湖煤矿</w:t>
      </w:r>
    </w:p>
    <w:p>
      <w:pPr>
        <w:jc w:val="center"/>
        <w:rPr>
          <w:b w:val="0"/>
          <w:bCs/>
          <w:sz w:val="36"/>
          <w:szCs w:val="36"/>
        </w:rPr>
      </w:pPr>
      <w:r>
        <w:rPr>
          <w:rFonts w:hint="eastAsia"/>
          <w:b w:val="0"/>
          <w:bCs/>
          <w:sz w:val="36"/>
          <w:szCs w:val="36"/>
        </w:rPr>
        <w:t>道口</w:t>
      </w:r>
      <w:r>
        <w:rPr>
          <w:rFonts w:hint="eastAsia"/>
          <w:b w:val="0"/>
          <w:bCs/>
          <w:sz w:val="36"/>
          <w:szCs w:val="36"/>
          <w:lang w:val="en-US" w:eastAsia="zh-CN"/>
        </w:rPr>
        <w:t>集控</w:t>
      </w:r>
      <w:r>
        <w:rPr>
          <w:rFonts w:hint="eastAsia"/>
          <w:b w:val="0"/>
          <w:bCs/>
          <w:sz w:val="36"/>
          <w:szCs w:val="36"/>
        </w:rPr>
        <w:t>设备</w:t>
      </w:r>
    </w:p>
    <w:p>
      <w:pPr>
        <w:jc w:val="center"/>
        <w:rPr>
          <w:b/>
          <w:sz w:val="44"/>
          <w:szCs w:val="44"/>
        </w:rPr>
      </w:pPr>
    </w:p>
    <w:p>
      <w:pPr>
        <w:jc w:val="center"/>
        <w:rPr>
          <w:b/>
          <w:sz w:val="44"/>
          <w:szCs w:val="44"/>
        </w:rPr>
      </w:pPr>
    </w:p>
    <w:p>
      <w:pPr>
        <w:jc w:val="center"/>
        <w:rPr>
          <w:b/>
          <w:sz w:val="44"/>
          <w:szCs w:val="44"/>
        </w:rPr>
      </w:pPr>
      <w:r>
        <w:rPr>
          <w:rFonts w:hint="eastAsia"/>
          <w:b/>
          <w:sz w:val="44"/>
          <w:szCs w:val="44"/>
        </w:rPr>
        <w:t>技</w:t>
      </w:r>
    </w:p>
    <w:p>
      <w:pPr>
        <w:jc w:val="center"/>
        <w:rPr>
          <w:b/>
          <w:sz w:val="44"/>
          <w:szCs w:val="44"/>
        </w:rPr>
      </w:pPr>
    </w:p>
    <w:p>
      <w:pPr>
        <w:jc w:val="center"/>
        <w:rPr>
          <w:b/>
          <w:sz w:val="44"/>
          <w:szCs w:val="44"/>
        </w:rPr>
      </w:pPr>
    </w:p>
    <w:p>
      <w:pPr>
        <w:jc w:val="center"/>
        <w:rPr>
          <w:b/>
          <w:sz w:val="44"/>
          <w:szCs w:val="44"/>
        </w:rPr>
      </w:pPr>
      <w:r>
        <w:rPr>
          <w:rFonts w:hint="eastAsia"/>
          <w:b/>
          <w:sz w:val="44"/>
          <w:szCs w:val="44"/>
        </w:rPr>
        <w:t>术</w:t>
      </w:r>
    </w:p>
    <w:p>
      <w:pPr>
        <w:jc w:val="center"/>
        <w:rPr>
          <w:b/>
          <w:sz w:val="44"/>
          <w:szCs w:val="44"/>
        </w:rPr>
      </w:pPr>
    </w:p>
    <w:p>
      <w:pPr>
        <w:jc w:val="center"/>
        <w:rPr>
          <w:b/>
          <w:sz w:val="44"/>
          <w:szCs w:val="44"/>
        </w:rPr>
      </w:pPr>
    </w:p>
    <w:p>
      <w:pPr>
        <w:jc w:val="center"/>
        <w:rPr>
          <w:b/>
          <w:sz w:val="44"/>
          <w:szCs w:val="44"/>
        </w:rPr>
      </w:pPr>
      <w:r>
        <w:rPr>
          <w:rFonts w:hint="eastAsia"/>
          <w:b/>
          <w:sz w:val="44"/>
          <w:szCs w:val="44"/>
        </w:rPr>
        <w:t>规</w:t>
      </w:r>
    </w:p>
    <w:p>
      <w:pPr>
        <w:jc w:val="center"/>
        <w:rPr>
          <w:b/>
          <w:sz w:val="44"/>
          <w:szCs w:val="44"/>
        </w:rPr>
      </w:pPr>
    </w:p>
    <w:p>
      <w:pPr>
        <w:jc w:val="center"/>
        <w:rPr>
          <w:b/>
          <w:sz w:val="44"/>
          <w:szCs w:val="44"/>
        </w:rPr>
      </w:pPr>
    </w:p>
    <w:p>
      <w:pPr>
        <w:jc w:val="center"/>
        <w:rPr>
          <w:b/>
          <w:sz w:val="44"/>
          <w:szCs w:val="44"/>
        </w:rPr>
      </w:pPr>
      <w:r>
        <w:rPr>
          <w:rFonts w:hint="eastAsia"/>
          <w:b/>
          <w:sz w:val="44"/>
          <w:szCs w:val="44"/>
        </w:rPr>
        <w:t>格</w:t>
      </w:r>
    </w:p>
    <w:p>
      <w:pPr>
        <w:jc w:val="center"/>
        <w:rPr>
          <w:b/>
          <w:sz w:val="44"/>
          <w:szCs w:val="44"/>
        </w:rPr>
      </w:pPr>
    </w:p>
    <w:p>
      <w:pPr>
        <w:jc w:val="center"/>
        <w:rPr>
          <w:b/>
          <w:sz w:val="44"/>
          <w:szCs w:val="44"/>
        </w:rPr>
      </w:pPr>
    </w:p>
    <w:p>
      <w:pPr>
        <w:jc w:val="center"/>
        <w:rPr>
          <w:b/>
          <w:sz w:val="44"/>
          <w:szCs w:val="44"/>
        </w:rPr>
      </w:pPr>
      <w:r>
        <w:rPr>
          <w:rFonts w:hint="eastAsia"/>
          <w:b/>
          <w:sz w:val="44"/>
          <w:szCs w:val="44"/>
        </w:rPr>
        <w:t>书</w:t>
      </w:r>
    </w:p>
    <w:p>
      <w:pPr>
        <w:jc w:val="center"/>
        <w:rPr>
          <w:b/>
          <w:sz w:val="44"/>
          <w:szCs w:val="44"/>
        </w:rPr>
      </w:pPr>
    </w:p>
    <w:p>
      <w:pPr>
        <w:jc w:val="center"/>
        <w:rPr>
          <w:b/>
          <w:sz w:val="44"/>
          <w:szCs w:val="44"/>
        </w:rPr>
      </w:pPr>
    </w:p>
    <w:p>
      <w:pPr>
        <w:jc w:val="center"/>
        <w:rPr>
          <w:b/>
          <w:sz w:val="44"/>
          <w:szCs w:val="44"/>
        </w:rPr>
      </w:pPr>
    </w:p>
    <w:p>
      <w:pPr>
        <w:jc w:val="center"/>
        <w:rPr>
          <w:b/>
          <w:sz w:val="44"/>
          <w:szCs w:val="44"/>
        </w:rPr>
      </w:pPr>
    </w:p>
    <w:p>
      <w:pPr>
        <w:spacing w:line="400" w:lineRule="exact"/>
        <w:jc w:val="center"/>
        <w:rPr>
          <w:b/>
          <w:sz w:val="44"/>
          <w:szCs w:val="44"/>
        </w:rPr>
      </w:pPr>
      <w:r>
        <w:rPr>
          <w:rFonts w:hint="eastAsia" w:eastAsia="楷体_GB2312"/>
          <w:sz w:val="32"/>
        </w:rPr>
        <w:t>二O二</w:t>
      </w:r>
      <w:r>
        <w:rPr>
          <w:rFonts w:hint="eastAsia" w:eastAsia="楷体_GB2312"/>
          <w:sz w:val="32"/>
          <w:lang w:val="en-US" w:eastAsia="zh-CN"/>
        </w:rPr>
        <w:t>一</w:t>
      </w:r>
      <w:r>
        <w:rPr>
          <w:rFonts w:hint="eastAsia" w:eastAsia="楷体_GB2312"/>
          <w:sz w:val="32"/>
        </w:rPr>
        <w:t>年</w:t>
      </w:r>
      <w:r>
        <w:rPr>
          <w:rFonts w:hint="eastAsia" w:eastAsia="楷体_GB2312"/>
          <w:sz w:val="32"/>
          <w:lang w:val="en-US" w:eastAsia="zh-CN"/>
        </w:rPr>
        <w:t>二</w:t>
      </w:r>
      <w:r>
        <w:rPr>
          <w:rFonts w:hint="eastAsia" w:eastAsia="楷体_GB2312"/>
          <w:sz w:val="32"/>
        </w:rPr>
        <w:t>月</w:t>
      </w:r>
    </w:p>
    <w:p>
      <w:pPr>
        <w:rPr>
          <w:color w:val="auto"/>
        </w:rPr>
      </w:pPr>
    </w:p>
    <w:p>
      <w:pPr>
        <w:rPr>
          <w:color w:val="auto"/>
        </w:rPr>
      </w:pPr>
    </w:p>
    <w:p>
      <w:pPr>
        <w:rPr>
          <w:color w:val="auto"/>
        </w:rPr>
      </w:pPr>
    </w:p>
    <w:p>
      <w:pPr>
        <w:rPr>
          <w:color w:val="auto"/>
        </w:rPr>
      </w:pPr>
    </w:p>
    <w:p>
      <w:pPr>
        <w:rPr>
          <w:color w:val="auto"/>
        </w:rPr>
        <w:sectPr>
          <w:headerReference r:id="rId4" w:type="first"/>
          <w:footerReference r:id="rId6" w:type="first"/>
          <w:headerReference r:id="rId3" w:type="default"/>
          <w:footerReference r:id="rId5" w:type="default"/>
          <w:pgSz w:w="11906" w:h="16838"/>
          <w:pgMar w:top="1383" w:right="1089" w:bottom="1701" w:left="1264" w:header="0" w:footer="93" w:gutter="0"/>
          <w:pgNumType w:start="0"/>
          <w:cols w:space="425" w:num="1"/>
          <w:titlePg/>
          <w:docGrid w:linePitch="312" w:charSpace="0"/>
        </w:sectPr>
      </w:pPr>
    </w:p>
    <w:p>
      <w:pPr>
        <w:pStyle w:val="3"/>
        <w:numPr>
          <w:ilvl w:val="0"/>
          <w:numId w:val="1"/>
        </w:numPr>
        <w:spacing w:before="200" w:after="200" w:line="360" w:lineRule="auto"/>
        <w:rPr>
          <w:rFonts w:asciiTheme="majorEastAsia" w:hAnsiTheme="majorEastAsia"/>
          <w:color w:val="auto"/>
          <w:sz w:val="28"/>
          <w:szCs w:val="28"/>
        </w:rPr>
      </w:pPr>
      <w:bookmarkStart w:id="0" w:name="_Toc62659619"/>
      <w:bookmarkStart w:id="1" w:name="_Toc39930240"/>
      <w:r>
        <w:rPr>
          <w:rFonts w:hint="eastAsia" w:asciiTheme="majorEastAsia" w:hAnsiTheme="majorEastAsia"/>
          <w:color w:val="auto"/>
          <w:sz w:val="28"/>
          <w:szCs w:val="28"/>
          <w:lang w:val="en-US" w:eastAsia="zh-CN"/>
        </w:rPr>
        <w:t>供货范围</w:t>
      </w:r>
    </w:p>
    <w:p>
      <w:pPr>
        <w:rPr>
          <w:rFonts w:hint="default"/>
          <w:lang w:val="en-US"/>
        </w:rPr>
      </w:pPr>
      <w:r>
        <w:rPr>
          <w:rFonts w:hint="eastAsia" w:asciiTheme="majorEastAsia" w:hAnsiTheme="majorEastAsia"/>
          <w:color w:val="auto"/>
          <w:sz w:val="28"/>
          <w:szCs w:val="28"/>
          <w:lang w:val="en-US" w:eastAsia="zh-CN"/>
        </w:rPr>
        <w:t>道口集控设备     一套（4处道口）</w:t>
      </w:r>
    </w:p>
    <w:p>
      <w:pPr>
        <w:pStyle w:val="3"/>
        <w:numPr>
          <w:ilvl w:val="0"/>
          <w:numId w:val="1"/>
        </w:numPr>
        <w:spacing w:before="200" w:after="200" w:line="360" w:lineRule="auto"/>
        <w:rPr>
          <w:rFonts w:asciiTheme="majorEastAsia" w:hAnsiTheme="majorEastAsia"/>
          <w:color w:val="auto"/>
          <w:sz w:val="28"/>
          <w:szCs w:val="28"/>
        </w:rPr>
      </w:pPr>
      <w:r>
        <w:rPr>
          <w:rFonts w:hint="eastAsia" w:asciiTheme="majorEastAsia" w:hAnsiTheme="majorEastAsia"/>
          <w:color w:val="auto"/>
          <w:sz w:val="28"/>
          <w:szCs w:val="28"/>
        </w:rPr>
        <w:t>道口设备引用的</w:t>
      </w:r>
      <w:r>
        <w:rPr>
          <w:rFonts w:asciiTheme="majorEastAsia" w:hAnsiTheme="majorEastAsia"/>
          <w:color w:val="auto"/>
          <w:sz w:val="28"/>
          <w:szCs w:val="28"/>
        </w:rPr>
        <w:t>标准</w:t>
      </w:r>
      <w:bookmarkEnd w:id="0"/>
      <w:bookmarkEnd w:id="1"/>
    </w:p>
    <w:p>
      <w:pPr>
        <w:spacing w:line="440" w:lineRule="exact"/>
        <w:ind w:firstLine="480" w:firstLineChars="200"/>
        <w:rPr>
          <w:rFonts w:ascii="宋体" w:hAnsi="宋体"/>
          <w:color w:val="auto"/>
          <w:sz w:val="24"/>
        </w:rPr>
      </w:pPr>
      <w:r>
        <w:rPr>
          <w:rFonts w:ascii="宋体" w:hAnsi="宋体"/>
          <w:color w:val="auto"/>
          <w:sz w:val="24"/>
        </w:rPr>
        <w:t>1</w:t>
      </w:r>
      <w:r>
        <w:rPr>
          <w:rFonts w:hint="eastAsia" w:ascii="宋体" w:hAnsi="宋体"/>
          <w:color w:val="auto"/>
          <w:sz w:val="24"/>
        </w:rPr>
        <w:t xml:space="preserve">、《平交道口自动防护设备或列车接近报警的技术规定》   </w:t>
      </w:r>
      <w:r>
        <w:rPr>
          <w:rFonts w:ascii="宋体" w:hAnsi="宋体"/>
          <w:color w:val="auto"/>
          <w:sz w:val="24"/>
        </w:rPr>
        <w:t xml:space="preserve">TB/T2969   </w:t>
      </w:r>
    </w:p>
    <w:p>
      <w:pPr>
        <w:spacing w:line="440" w:lineRule="exact"/>
        <w:ind w:firstLine="480" w:firstLineChars="200"/>
        <w:rPr>
          <w:rFonts w:ascii="宋体" w:hAnsi="宋体"/>
          <w:color w:val="auto"/>
          <w:sz w:val="24"/>
        </w:rPr>
      </w:pPr>
      <w:r>
        <w:rPr>
          <w:rFonts w:ascii="宋体" w:hAnsi="宋体"/>
          <w:color w:val="auto"/>
          <w:sz w:val="24"/>
        </w:rPr>
        <w:t>2</w:t>
      </w:r>
      <w:r>
        <w:rPr>
          <w:rFonts w:hint="eastAsia" w:ascii="宋体" w:hAnsi="宋体"/>
          <w:color w:val="auto"/>
          <w:sz w:val="24"/>
        </w:rPr>
        <w:t>、《道路交通信号灯设置与安装规范》                   GB 14886 — 2016</w:t>
      </w:r>
    </w:p>
    <w:p>
      <w:pPr>
        <w:spacing w:line="440" w:lineRule="exact"/>
        <w:ind w:firstLine="480" w:firstLineChars="200"/>
        <w:rPr>
          <w:rFonts w:ascii="宋体" w:hAnsi="宋体"/>
          <w:color w:val="auto"/>
          <w:sz w:val="24"/>
        </w:rPr>
      </w:pPr>
      <w:r>
        <w:rPr>
          <w:rFonts w:ascii="宋体" w:hAnsi="宋体"/>
          <w:color w:val="auto"/>
          <w:sz w:val="24"/>
        </w:rPr>
        <w:t>3</w:t>
      </w:r>
      <w:r>
        <w:rPr>
          <w:rFonts w:hint="eastAsia" w:ascii="宋体" w:hAnsi="宋体"/>
          <w:color w:val="auto"/>
          <w:sz w:val="24"/>
        </w:rPr>
        <w:t>、《铁路站内道口信号设备技术条件》                  GB 10493—2018</w:t>
      </w:r>
    </w:p>
    <w:p>
      <w:pPr>
        <w:spacing w:line="440" w:lineRule="exact"/>
        <w:ind w:firstLine="480" w:firstLineChars="200"/>
        <w:rPr>
          <w:rFonts w:ascii="宋体" w:hAnsi="宋体"/>
          <w:color w:val="auto"/>
          <w:sz w:val="24"/>
        </w:rPr>
      </w:pPr>
      <w:r>
        <w:rPr>
          <w:rFonts w:ascii="宋体" w:hAnsi="宋体"/>
          <w:color w:val="auto"/>
          <w:sz w:val="24"/>
        </w:rPr>
        <w:t>4</w:t>
      </w:r>
      <w:r>
        <w:rPr>
          <w:rFonts w:hint="eastAsia" w:ascii="宋体" w:hAnsi="宋体"/>
          <w:color w:val="auto"/>
          <w:sz w:val="24"/>
        </w:rPr>
        <w:t>、《铁路区间道口信号设备技术条件》                  GB 10494-2018</w:t>
      </w:r>
    </w:p>
    <w:p>
      <w:pPr>
        <w:spacing w:line="440" w:lineRule="exact"/>
        <w:ind w:firstLine="360" w:firstLineChars="150"/>
        <w:rPr>
          <w:rFonts w:ascii="宋体" w:hAnsi="宋体"/>
          <w:color w:val="auto"/>
          <w:sz w:val="24"/>
        </w:rPr>
      </w:pPr>
      <w:r>
        <w:rPr>
          <w:rFonts w:hint="eastAsia" w:ascii="宋体" w:hAnsi="宋体"/>
          <w:color w:val="auto"/>
          <w:sz w:val="24"/>
        </w:rPr>
        <w:t xml:space="preserve"> 5、《工业企业厂内铁路、道路运输安全规程》            GB4387－2008 </w:t>
      </w:r>
    </w:p>
    <w:p>
      <w:pPr>
        <w:spacing w:line="440" w:lineRule="exact"/>
        <w:ind w:firstLine="480" w:firstLineChars="200"/>
        <w:rPr>
          <w:rFonts w:ascii="宋体" w:hAnsi="宋体"/>
          <w:color w:val="auto"/>
          <w:sz w:val="24"/>
        </w:rPr>
      </w:pPr>
      <w:r>
        <w:rPr>
          <w:rFonts w:hint="eastAsia" w:ascii="宋体" w:hAnsi="宋体"/>
          <w:color w:val="auto"/>
          <w:sz w:val="24"/>
        </w:rPr>
        <w:t>6、《铁路信号设计规范》                               TB10007－2006</w:t>
      </w:r>
    </w:p>
    <w:p>
      <w:pPr>
        <w:spacing w:line="440" w:lineRule="exact"/>
        <w:ind w:firstLine="480" w:firstLineChars="200"/>
        <w:rPr>
          <w:rFonts w:ascii="宋体" w:hAnsi="宋体"/>
          <w:color w:val="auto"/>
          <w:sz w:val="24"/>
        </w:rPr>
      </w:pPr>
      <w:r>
        <w:rPr>
          <w:rFonts w:hint="eastAsia" w:ascii="宋体" w:hAnsi="宋体"/>
          <w:color w:val="auto"/>
          <w:sz w:val="24"/>
        </w:rPr>
        <w:t>7、《计算机联锁技术条件》                TB/T3027-2002</w:t>
      </w:r>
    </w:p>
    <w:p>
      <w:pPr>
        <w:spacing w:line="440" w:lineRule="exact"/>
        <w:ind w:firstLine="480" w:firstLineChars="200"/>
        <w:rPr>
          <w:rFonts w:ascii="宋体" w:hAnsi="宋体"/>
          <w:color w:val="auto"/>
          <w:sz w:val="24"/>
        </w:rPr>
      </w:pPr>
      <w:r>
        <w:rPr>
          <w:rFonts w:hint="eastAsia" w:ascii="宋体" w:hAnsi="宋体"/>
          <w:color w:val="auto"/>
          <w:sz w:val="24"/>
        </w:rPr>
        <w:t>8、《铁路信号维护规则》                  铁运(2008)142 号文</w:t>
      </w:r>
    </w:p>
    <w:p>
      <w:pPr>
        <w:spacing w:line="440" w:lineRule="exact"/>
        <w:ind w:firstLine="480" w:firstLineChars="200"/>
        <w:rPr>
          <w:rFonts w:ascii="宋体" w:hAnsi="宋体"/>
          <w:color w:val="auto"/>
          <w:sz w:val="24"/>
        </w:rPr>
      </w:pPr>
      <w:r>
        <w:rPr>
          <w:rFonts w:hint="eastAsia" w:ascii="宋体" w:hAnsi="宋体"/>
          <w:color w:val="auto"/>
          <w:sz w:val="24"/>
        </w:rPr>
        <w:t>9、《低压电气外壳防护等级》             （GB 4208-1993）</w:t>
      </w:r>
    </w:p>
    <w:p>
      <w:pPr>
        <w:spacing w:line="440" w:lineRule="exact"/>
        <w:ind w:firstLine="360" w:firstLineChars="150"/>
        <w:rPr>
          <w:rFonts w:ascii="宋体" w:hAnsi="宋体"/>
          <w:color w:val="auto"/>
          <w:sz w:val="24"/>
        </w:rPr>
      </w:pPr>
      <w:r>
        <w:rPr>
          <w:rFonts w:hint="eastAsia" w:ascii="宋体" w:hAnsi="宋体"/>
          <w:color w:val="auto"/>
          <w:sz w:val="24"/>
        </w:rPr>
        <w:t xml:space="preserve"> 10、《铁路信号施工规范》                   TB10206</w:t>
      </w:r>
    </w:p>
    <w:p>
      <w:pPr>
        <w:spacing w:line="440" w:lineRule="exact"/>
        <w:ind w:firstLine="480" w:firstLineChars="200"/>
        <w:rPr>
          <w:rFonts w:ascii="宋体" w:hAnsi="宋体"/>
          <w:color w:val="auto"/>
          <w:sz w:val="24"/>
        </w:rPr>
      </w:pPr>
      <w:r>
        <w:rPr>
          <w:rFonts w:hint="eastAsia" w:ascii="宋体" w:hAnsi="宋体"/>
          <w:color w:val="auto"/>
          <w:sz w:val="24"/>
        </w:rPr>
        <w:t>11、《铁路灯光信号发光强度》             TB/T 2353-1993</w:t>
      </w:r>
      <w:r>
        <w:rPr>
          <w:rFonts w:hint="eastAsia" w:ascii="宋体" w:hAnsi="宋体"/>
          <w:color w:val="auto"/>
          <w:sz w:val="24"/>
        </w:rPr>
        <w:tab/>
      </w:r>
      <w:r>
        <w:rPr>
          <w:rFonts w:hint="eastAsia" w:ascii="宋体" w:hAnsi="宋体"/>
          <w:color w:val="auto"/>
          <w:sz w:val="24"/>
        </w:rPr>
        <w:tab/>
      </w:r>
    </w:p>
    <w:p>
      <w:pPr>
        <w:spacing w:line="440" w:lineRule="exact"/>
        <w:ind w:firstLine="360" w:firstLineChars="150"/>
        <w:rPr>
          <w:rFonts w:ascii="宋体" w:hAnsi="宋体"/>
          <w:color w:val="auto"/>
          <w:sz w:val="24"/>
        </w:rPr>
      </w:pPr>
      <w:r>
        <w:rPr>
          <w:rFonts w:hint="eastAsia" w:ascii="宋体" w:hAnsi="宋体"/>
          <w:color w:val="auto"/>
          <w:sz w:val="24"/>
        </w:rPr>
        <w:t xml:space="preserve"> 12、《信号产品的绝缘电阻》               TB/T 1447-1982</w:t>
      </w:r>
      <w:r>
        <w:rPr>
          <w:rFonts w:hint="eastAsia" w:ascii="宋体" w:hAnsi="宋体"/>
          <w:color w:val="auto"/>
          <w:sz w:val="24"/>
        </w:rPr>
        <w:tab/>
      </w:r>
    </w:p>
    <w:p>
      <w:pPr>
        <w:spacing w:line="440" w:lineRule="exact"/>
        <w:ind w:firstLine="360" w:firstLineChars="150"/>
        <w:rPr>
          <w:rFonts w:ascii="宋体" w:hAnsi="宋体"/>
          <w:color w:val="auto"/>
          <w:sz w:val="24"/>
        </w:rPr>
      </w:pPr>
      <w:r>
        <w:rPr>
          <w:rFonts w:hint="eastAsia" w:ascii="宋体" w:hAnsi="宋体"/>
          <w:color w:val="auto"/>
          <w:sz w:val="24"/>
        </w:rPr>
        <w:t xml:space="preserve"> 13、《通信信号产品的绝缘耐压》           TB/T 1448-1982</w:t>
      </w:r>
    </w:p>
    <w:p>
      <w:pPr>
        <w:spacing w:line="440" w:lineRule="exact"/>
        <w:ind w:firstLine="360" w:firstLineChars="150"/>
        <w:rPr>
          <w:rFonts w:ascii="宋体" w:hAnsi="宋体"/>
          <w:color w:val="auto"/>
          <w:sz w:val="24"/>
        </w:rPr>
      </w:pPr>
      <w:r>
        <w:rPr>
          <w:rFonts w:hint="eastAsia" w:ascii="宋体" w:hAnsi="宋体"/>
          <w:color w:val="auto"/>
          <w:sz w:val="24"/>
        </w:rPr>
        <w:t xml:space="preserve"> 14、《铁路道口管理理办法》              （铁总运【</w:t>
      </w:r>
      <w:r>
        <w:rPr>
          <w:rFonts w:ascii="宋体" w:hAnsi="宋体"/>
          <w:color w:val="auto"/>
          <w:sz w:val="24"/>
        </w:rPr>
        <w:t>2013</w:t>
      </w:r>
      <w:r>
        <w:rPr>
          <w:rFonts w:hint="eastAsia" w:ascii="宋体" w:hAnsi="宋体"/>
          <w:color w:val="auto"/>
          <w:sz w:val="24"/>
        </w:rPr>
        <w:t>】</w:t>
      </w:r>
      <w:r>
        <w:rPr>
          <w:rFonts w:ascii="宋体" w:hAnsi="宋体"/>
          <w:color w:val="auto"/>
          <w:sz w:val="24"/>
        </w:rPr>
        <w:t xml:space="preserve">121 </w:t>
      </w:r>
      <w:r>
        <w:rPr>
          <w:rFonts w:hint="eastAsia" w:ascii="宋体" w:hAnsi="宋体"/>
          <w:color w:val="auto"/>
          <w:sz w:val="24"/>
        </w:rPr>
        <w:t>号）</w:t>
      </w:r>
    </w:p>
    <w:p>
      <w:pPr>
        <w:pStyle w:val="3"/>
        <w:numPr>
          <w:ilvl w:val="0"/>
          <w:numId w:val="1"/>
        </w:numPr>
        <w:spacing w:before="200" w:after="200" w:line="360" w:lineRule="auto"/>
        <w:rPr>
          <w:rFonts w:asciiTheme="majorEastAsia" w:hAnsiTheme="majorEastAsia"/>
          <w:color w:val="auto"/>
          <w:sz w:val="28"/>
          <w:szCs w:val="28"/>
        </w:rPr>
      </w:pPr>
      <w:bookmarkStart w:id="2" w:name="_Toc62659620"/>
      <w:bookmarkStart w:id="3" w:name="_Toc39930242"/>
      <w:r>
        <w:rPr>
          <w:rFonts w:hint="eastAsia" w:asciiTheme="majorEastAsia" w:hAnsiTheme="majorEastAsia"/>
          <w:color w:val="auto"/>
          <w:sz w:val="28"/>
          <w:szCs w:val="28"/>
        </w:rPr>
        <w:t>道口</w:t>
      </w:r>
      <w:r>
        <w:rPr>
          <w:rFonts w:asciiTheme="majorEastAsia" w:hAnsiTheme="majorEastAsia"/>
          <w:color w:val="auto"/>
          <w:sz w:val="28"/>
          <w:szCs w:val="28"/>
        </w:rPr>
        <w:t>信号设计</w:t>
      </w:r>
      <w:r>
        <w:rPr>
          <w:rFonts w:hint="eastAsia" w:asciiTheme="majorEastAsia" w:hAnsiTheme="majorEastAsia"/>
          <w:color w:val="auto"/>
          <w:sz w:val="28"/>
          <w:szCs w:val="28"/>
        </w:rPr>
        <w:t>原则</w:t>
      </w:r>
      <w:bookmarkEnd w:id="2"/>
      <w:bookmarkEnd w:id="3"/>
    </w:p>
    <w:p>
      <w:pPr>
        <w:spacing w:line="360" w:lineRule="auto"/>
        <w:ind w:firstLine="480" w:firstLineChars="200"/>
        <w:rPr>
          <w:rFonts w:ascii="宋体" w:hAnsi="宋体"/>
          <w:color w:val="auto"/>
          <w:sz w:val="24"/>
        </w:rPr>
      </w:pPr>
      <w:r>
        <w:rPr>
          <w:rFonts w:hint="eastAsia" w:ascii="宋体" w:hAnsi="宋体"/>
          <w:color w:val="auto"/>
          <w:sz w:val="24"/>
        </w:rPr>
        <w:t>1、道口</w:t>
      </w:r>
      <w:r>
        <w:rPr>
          <w:rFonts w:ascii="宋体" w:hAnsi="宋体"/>
          <w:color w:val="auto"/>
          <w:sz w:val="24"/>
        </w:rPr>
        <w:t>信号的</w:t>
      </w:r>
      <w:r>
        <w:rPr>
          <w:rFonts w:hint="eastAsia" w:ascii="宋体" w:hAnsi="宋体"/>
          <w:color w:val="auto"/>
          <w:sz w:val="24"/>
        </w:rPr>
        <w:t>传感及逻辑判断的控制条件应满足铁路信号故障 — 安全的原则。</w:t>
      </w:r>
    </w:p>
    <w:p>
      <w:pPr>
        <w:spacing w:line="360" w:lineRule="auto"/>
        <w:ind w:firstLine="480" w:firstLineChars="200"/>
        <w:rPr>
          <w:rFonts w:ascii="宋体" w:hAnsi="宋体"/>
          <w:color w:val="auto"/>
          <w:sz w:val="24"/>
        </w:rPr>
      </w:pPr>
      <w:r>
        <w:rPr>
          <w:rFonts w:hint="eastAsia" w:ascii="宋体" w:hAnsi="宋体"/>
          <w:color w:val="auto"/>
          <w:sz w:val="24"/>
        </w:rPr>
        <w:t>2、道口信号的可靠性、可用性、可维修性和安全性应符合GB/T 21562— 2008的要求，计算机及相关系统的安全完整性应满足SIL4级要求。</w:t>
      </w:r>
    </w:p>
    <w:p>
      <w:pPr>
        <w:spacing w:line="360" w:lineRule="auto"/>
        <w:ind w:firstLine="480" w:firstLineChars="200"/>
        <w:rPr>
          <w:rFonts w:ascii="宋体" w:hAnsi="宋体"/>
          <w:color w:val="auto"/>
          <w:sz w:val="24"/>
        </w:rPr>
      </w:pPr>
      <w:r>
        <w:rPr>
          <w:rFonts w:ascii="宋体" w:hAnsi="宋体"/>
          <w:color w:val="auto"/>
          <w:sz w:val="24"/>
        </w:rPr>
        <w:t>3</w:t>
      </w:r>
      <w:r>
        <w:rPr>
          <w:rFonts w:hint="eastAsia" w:ascii="宋体" w:hAnsi="宋体"/>
          <w:color w:val="auto"/>
          <w:sz w:val="24"/>
        </w:rPr>
        <w:t>、道口信号控制设备应安置在专用的机械室内。面积</w:t>
      </w:r>
      <w:r>
        <w:rPr>
          <w:rFonts w:ascii="宋体" w:hAnsi="宋体"/>
          <w:color w:val="auto"/>
          <w:sz w:val="24"/>
        </w:rPr>
        <w:t>、</w:t>
      </w:r>
      <w:r>
        <w:rPr>
          <w:rFonts w:hint="eastAsia" w:ascii="宋体" w:hAnsi="宋体"/>
          <w:color w:val="auto"/>
          <w:sz w:val="24"/>
        </w:rPr>
        <w:t>设备</w:t>
      </w:r>
      <w:r>
        <w:rPr>
          <w:rFonts w:ascii="宋体" w:hAnsi="宋体"/>
          <w:color w:val="auto"/>
          <w:sz w:val="24"/>
        </w:rPr>
        <w:t>布置</w:t>
      </w:r>
      <w:r>
        <w:rPr>
          <w:rFonts w:hint="eastAsia" w:ascii="宋体" w:hAnsi="宋体"/>
          <w:color w:val="auto"/>
          <w:sz w:val="24"/>
        </w:rPr>
        <w:t>、建筑物</w:t>
      </w:r>
      <w:r>
        <w:rPr>
          <w:rFonts w:ascii="宋体" w:hAnsi="宋体"/>
          <w:color w:val="auto"/>
          <w:sz w:val="24"/>
        </w:rPr>
        <w:t>防雷</w:t>
      </w:r>
      <w:r>
        <w:rPr>
          <w:rFonts w:hint="eastAsia" w:ascii="宋体" w:hAnsi="宋体"/>
          <w:color w:val="auto"/>
          <w:sz w:val="24"/>
        </w:rPr>
        <w:t>、环境条件等应满足系统</w:t>
      </w:r>
      <w:r>
        <w:rPr>
          <w:rFonts w:ascii="宋体" w:hAnsi="宋体"/>
          <w:color w:val="auto"/>
          <w:sz w:val="24"/>
        </w:rPr>
        <w:t>设备</w:t>
      </w:r>
      <w:r>
        <w:rPr>
          <w:rFonts w:hint="eastAsia" w:ascii="宋体" w:hAnsi="宋体"/>
          <w:color w:val="auto"/>
          <w:sz w:val="24"/>
        </w:rPr>
        <w:t>的</w:t>
      </w:r>
      <w:r>
        <w:rPr>
          <w:rFonts w:ascii="宋体" w:hAnsi="宋体"/>
          <w:color w:val="auto"/>
          <w:sz w:val="24"/>
        </w:rPr>
        <w:t>要求。</w:t>
      </w:r>
    </w:p>
    <w:p>
      <w:pPr>
        <w:spacing w:line="360" w:lineRule="auto"/>
        <w:ind w:firstLine="480" w:firstLineChars="200"/>
        <w:rPr>
          <w:rFonts w:ascii="宋体" w:hAnsi="宋体"/>
          <w:color w:val="auto"/>
          <w:sz w:val="24"/>
        </w:rPr>
      </w:pPr>
      <w:r>
        <w:rPr>
          <w:rFonts w:hint="eastAsia" w:ascii="宋体" w:hAnsi="宋体"/>
          <w:color w:val="auto"/>
          <w:sz w:val="24"/>
        </w:rPr>
        <w:t>4、道口信号室外设备应有防尘、防水的要求。</w:t>
      </w:r>
    </w:p>
    <w:p>
      <w:pPr>
        <w:spacing w:line="360" w:lineRule="auto"/>
        <w:ind w:firstLine="480" w:firstLineChars="200"/>
        <w:rPr>
          <w:rFonts w:ascii="宋体" w:hAnsi="宋体"/>
          <w:color w:val="auto"/>
          <w:sz w:val="24"/>
        </w:rPr>
      </w:pPr>
      <w:r>
        <w:rPr>
          <w:rFonts w:hint="eastAsia" w:ascii="宋体" w:hAnsi="宋体"/>
          <w:color w:val="auto"/>
          <w:sz w:val="24"/>
        </w:rPr>
        <w:t>5、道口信号设备应设监测设备，并预留联网条件。</w:t>
      </w:r>
    </w:p>
    <w:p>
      <w:pPr>
        <w:spacing w:line="360" w:lineRule="auto"/>
        <w:ind w:firstLine="480" w:firstLineChars="200"/>
        <w:rPr>
          <w:rFonts w:ascii="宋体" w:hAnsi="宋体"/>
          <w:color w:val="auto"/>
          <w:sz w:val="24"/>
        </w:rPr>
      </w:pPr>
      <w:r>
        <w:rPr>
          <w:rFonts w:hint="eastAsia" w:ascii="宋体" w:hAnsi="宋体"/>
          <w:color w:val="auto"/>
          <w:sz w:val="24"/>
        </w:rPr>
        <w:t>6、道口信号设备应采取可靠的防雷措施。</w:t>
      </w:r>
    </w:p>
    <w:p>
      <w:pPr>
        <w:spacing w:line="360" w:lineRule="auto"/>
        <w:ind w:firstLine="480" w:firstLineChars="200"/>
        <w:rPr>
          <w:rFonts w:ascii="宋体" w:hAnsi="宋体"/>
          <w:color w:val="auto"/>
          <w:sz w:val="24"/>
        </w:rPr>
      </w:pPr>
      <w:r>
        <w:rPr>
          <w:rFonts w:hint="eastAsia" w:ascii="宋体" w:hAnsi="宋体"/>
          <w:color w:val="auto"/>
          <w:sz w:val="24"/>
        </w:rPr>
        <w:t>7、道口信号的电磁兼容性能应符合GB/T 24338.5-2009的要求。</w:t>
      </w:r>
    </w:p>
    <w:p>
      <w:pPr>
        <w:spacing w:line="360" w:lineRule="auto"/>
        <w:ind w:firstLine="480" w:firstLineChars="200"/>
        <w:rPr>
          <w:rFonts w:ascii="宋体" w:hAnsi="宋体"/>
          <w:color w:val="auto"/>
          <w:sz w:val="24"/>
        </w:rPr>
      </w:pPr>
      <w:r>
        <w:rPr>
          <w:rFonts w:ascii="宋体" w:hAnsi="宋体"/>
          <w:color w:val="auto"/>
          <w:sz w:val="24"/>
        </w:rPr>
        <w:t>8</w:t>
      </w:r>
      <w:r>
        <w:rPr>
          <w:rFonts w:hint="eastAsia" w:ascii="宋体" w:hAnsi="宋体"/>
          <w:color w:val="auto"/>
          <w:sz w:val="24"/>
        </w:rPr>
        <w:t>、 电气化牵引区段的道口信号设备应对牵引电流的干扰采取有效的防护措施。</w:t>
      </w:r>
    </w:p>
    <w:p>
      <w:pPr>
        <w:pStyle w:val="3"/>
        <w:numPr>
          <w:ilvl w:val="0"/>
          <w:numId w:val="1"/>
        </w:numPr>
        <w:spacing w:before="200" w:after="200" w:line="360" w:lineRule="auto"/>
        <w:rPr>
          <w:rFonts w:asciiTheme="majorEastAsia" w:hAnsiTheme="majorEastAsia"/>
          <w:color w:val="auto"/>
          <w:sz w:val="28"/>
          <w:szCs w:val="28"/>
        </w:rPr>
      </w:pPr>
      <w:bookmarkStart w:id="4" w:name="_Toc62659621"/>
      <w:r>
        <w:rPr>
          <w:rFonts w:hint="eastAsia" w:asciiTheme="majorEastAsia" w:hAnsiTheme="majorEastAsia"/>
          <w:color w:val="auto"/>
          <w:sz w:val="28"/>
          <w:szCs w:val="28"/>
        </w:rPr>
        <w:t>集控道口功能要求：</w:t>
      </w:r>
      <w:bookmarkEnd w:id="4"/>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远程集控道口系统功能：</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系统平台化设计，采用模块化结构，集中区内的道口可以根据生产需要灵活分配到区域控制终端。系统平台一次建成后，未来新增道口方便快捷，成本投入少，系统经济性显著。</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操作终端采用双机热备形式，当主机故障、主机控制器故障、以及主机通讯等设备故障后，自动切换到备机；具备操作员通过鼠标手动切换的功能。</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操作终端进行远程控制道口报警、停报，栏木机的升、降、停以及远程喊话等功能，同时具备本地及远程控制模式，现场依据实际需要既可以实现本地操作也可以实现远程操作，本地与远程同时只允许一处操作。对于既有无人看守道口改造后，具备远程控制集控道口的能力，实现对无人看守道口的自动预警、栏木机的自动升、降、停、远程控制防护信号机的开放、关闭、照明灯（补光灯）的开放、关闭、以及现场道口的栏木机状态、警报机状态、防护信号机状态的实时采集，并在集控中心控制终端显示屏上显示。</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操作终端设备配置数据服务器，用于道口数据的存储服务，如：道口配置、道口报警数据、监测数据、以及操作数据的存储功能，便于历史数据的查询、调用以及主备机数据的同步。</w:t>
      </w:r>
    </w:p>
    <w:p>
      <w:pPr>
        <w:numPr>
          <w:ilvl w:val="0"/>
          <w:numId w:val="3"/>
        </w:numPr>
        <w:spacing w:line="520" w:lineRule="exact"/>
        <w:ind w:left="0" w:firstLine="422" w:firstLineChars="176"/>
        <w:rPr>
          <w:rFonts w:ascii="宋体" w:hAnsi="宋体" w:cs="Calibri"/>
          <w:color w:val="FF0000"/>
          <w:sz w:val="24"/>
        </w:rPr>
      </w:pPr>
      <w:r>
        <w:rPr>
          <w:rFonts w:hint="eastAsia" w:ascii="宋体" w:hAnsi="宋体" w:cs="Calibri"/>
          <w:color w:val="FF0000"/>
          <w:sz w:val="24"/>
        </w:rPr>
        <w:t>操作终端设置在信湖</w:t>
      </w:r>
      <w:r>
        <w:rPr>
          <w:rFonts w:hint="eastAsia" w:ascii="宋体" w:hAnsi="宋体" w:cs="Calibri"/>
          <w:color w:val="FF0000"/>
          <w:sz w:val="24"/>
          <w:lang w:eastAsia="zh-CN"/>
        </w:rPr>
        <w:t>站</w:t>
      </w:r>
      <w:r>
        <w:rPr>
          <w:rFonts w:hint="eastAsia" w:ascii="宋体" w:hAnsi="宋体" w:cs="Calibri"/>
          <w:color w:val="FF0000"/>
          <w:sz w:val="24"/>
        </w:rPr>
        <w:t>，</w:t>
      </w:r>
      <w:r>
        <w:rPr>
          <w:rFonts w:hint="eastAsia" w:ascii="宋体" w:hAnsi="宋体" w:cs="Calibri"/>
          <w:color w:val="FF0000"/>
          <w:sz w:val="24"/>
          <w:lang w:val="en-US" w:eastAsia="zh-CN"/>
        </w:rPr>
        <w:t>实现对新建4处道口和既有3处道口的集中控制。同时改造蔡楼集控中心，实现对7处道口的视频监控。</w:t>
      </w:r>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集控终端界面显示：</w:t>
      </w:r>
    </w:p>
    <w:p>
      <w:pPr>
        <w:spacing w:line="360" w:lineRule="auto"/>
        <w:ind w:left="424" w:leftChars="202" w:firstLine="360" w:firstLineChars="1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集控终端界面显示简洁，可操作性强、可视化强（显示现场实际道口报警状态、防护信号机的状态、机车接近方向状态等），操作简单易于掌握。</w:t>
      </w:r>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集控道口终端应具备以下功能：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能够实时的显示本地道口的实际设备状态；</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道口报警语音提示功能；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具有操作记录查询功能；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设备历史运行记录查询功能；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设备报警信息查询功能；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道口报警历史信息统计、查询功能；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系统管理功能；</w:t>
      </w:r>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用户管理功能；</w:t>
      </w:r>
    </w:p>
    <w:p>
      <w:pPr>
        <w:numPr>
          <w:ilvl w:val="0"/>
          <w:numId w:val="2"/>
        </w:numPr>
        <w:spacing w:line="360" w:lineRule="auto"/>
        <w:rPr>
          <w:rFonts w:cs="宋体" w:asciiTheme="minorEastAsia" w:hAnsiTheme="minorEastAsia" w:eastAsiaTheme="minorEastAsia"/>
          <w:b/>
          <w:color w:val="auto"/>
          <w:sz w:val="24"/>
        </w:rPr>
      </w:pPr>
      <w:bookmarkStart w:id="5" w:name="_Toc34921714"/>
      <w:r>
        <w:rPr>
          <w:rFonts w:hint="eastAsia" w:cs="宋体" w:asciiTheme="minorEastAsia" w:hAnsiTheme="minorEastAsia" w:eastAsiaTheme="minorEastAsia"/>
          <w:b/>
          <w:color w:val="auto"/>
          <w:sz w:val="24"/>
        </w:rPr>
        <w:t>控制终端设备系统要求</w:t>
      </w:r>
      <w:bookmarkEnd w:id="5"/>
      <w:r>
        <w:rPr>
          <w:rFonts w:hint="eastAsia" w:cs="宋体" w:asciiTheme="minorEastAsia" w:hAnsiTheme="minorEastAsia" w:eastAsiaTheme="minorEastAsia"/>
          <w:b/>
          <w:color w:val="auto"/>
          <w:sz w:val="24"/>
        </w:rPr>
        <w:t>：</w:t>
      </w:r>
    </w:p>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在</w:t>
      </w:r>
      <w:r>
        <w:rPr>
          <w:rFonts w:asciiTheme="minorEastAsia" w:hAnsiTheme="minorEastAsia" w:eastAsiaTheme="minorEastAsia"/>
          <w:color w:val="auto"/>
          <w:sz w:val="24"/>
        </w:rPr>
        <w:t>WINDOWS</w:t>
      </w:r>
      <w:r>
        <w:rPr>
          <w:rFonts w:hint="eastAsia" w:asciiTheme="minorEastAsia" w:hAnsiTheme="minorEastAsia" w:eastAsiaTheme="minorEastAsia"/>
          <w:color w:val="auto"/>
          <w:sz w:val="24"/>
        </w:rPr>
        <w:t>7环境下编制的道口终端控制软件系统充分发挥了</w:t>
      </w:r>
      <w:r>
        <w:rPr>
          <w:rFonts w:asciiTheme="minorEastAsia" w:hAnsiTheme="minorEastAsia" w:eastAsiaTheme="minorEastAsia"/>
          <w:color w:val="auto"/>
          <w:sz w:val="24"/>
        </w:rPr>
        <w:t>WINDOWS</w:t>
      </w:r>
      <w:r>
        <w:rPr>
          <w:rFonts w:hint="eastAsia" w:asciiTheme="minorEastAsia" w:hAnsiTheme="minorEastAsia" w:eastAsiaTheme="minorEastAsia"/>
          <w:color w:val="auto"/>
          <w:sz w:val="24"/>
        </w:rPr>
        <w:t>给用户带来的各种便利，为实现其在速度和特性方面的最佳性能，系统至少应满足以下介绍的硬件和软件的最低要求。</w:t>
      </w:r>
      <w:bookmarkStart w:id="6" w:name="_Toc34921715"/>
    </w:p>
    <w:p>
      <w:pPr>
        <w:pStyle w:val="30"/>
        <w:numPr>
          <w:ilvl w:val="0"/>
          <w:numId w:val="4"/>
        </w:numPr>
        <w:spacing w:line="360" w:lineRule="auto"/>
        <w:ind w:firstLineChars="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硬件要求：</w:t>
      </w:r>
    </w:p>
    <w:bookmarkEnd w:id="6"/>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asciiTheme="minorEastAsia" w:hAnsiTheme="minorEastAsia" w:eastAsiaTheme="minorEastAsia"/>
          <w:color w:val="auto"/>
          <w:sz w:val="24"/>
        </w:rPr>
        <w:t>i5</w:t>
      </w:r>
      <w:r>
        <w:rPr>
          <w:rFonts w:hint="eastAsia" w:asciiTheme="minorEastAsia" w:hAnsiTheme="minorEastAsia" w:eastAsiaTheme="minorEastAsia"/>
          <w:color w:val="auto"/>
          <w:sz w:val="24"/>
        </w:rPr>
        <w:t>及其以上的处理器。</w:t>
      </w:r>
    </w:p>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（2）至少</w:t>
      </w:r>
      <w:r>
        <w:rPr>
          <w:rFonts w:asciiTheme="minorEastAsia" w:hAnsiTheme="minorEastAsia" w:eastAsiaTheme="minorEastAsia"/>
          <w:color w:val="auto"/>
          <w:sz w:val="24"/>
        </w:rPr>
        <w:t>8G</w:t>
      </w:r>
      <w:r>
        <w:rPr>
          <w:rFonts w:hint="eastAsia" w:asciiTheme="minorEastAsia" w:hAnsiTheme="minorEastAsia" w:eastAsiaTheme="minorEastAsia"/>
          <w:color w:val="auto"/>
          <w:sz w:val="24"/>
        </w:rPr>
        <w:t>常规内存。</w:t>
      </w:r>
    </w:p>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（3）至少</w:t>
      </w:r>
      <w:r>
        <w:rPr>
          <w:rFonts w:asciiTheme="minorEastAsia" w:hAnsiTheme="minorEastAsia" w:eastAsiaTheme="minorEastAsia"/>
          <w:color w:val="auto"/>
          <w:sz w:val="24"/>
        </w:rPr>
        <w:t>250</w:t>
      </w:r>
      <w:r>
        <w:rPr>
          <w:rFonts w:hint="eastAsia" w:asciiTheme="minorEastAsia" w:hAnsiTheme="minorEastAsia" w:eastAsiaTheme="minorEastAsia"/>
          <w:color w:val="auto"/>
          <w:sz w:val="24"/>
        </w:rPr>
        <w:t>G</w:t>
      </w:r>
      <w:r>
        <w:rPr>
          <w:rFonts w:asciiTheme="minorEastAsia" w:hAnsiTheme="minorEastAsia" w:eastAsiaTheme="minorEastAsia"/>
          <w:color w:val="auto"/>
          <w:sz w:val="24"/>
        </w:rPr>
        <w:t>B</w:t>
      </w:r>
      <w:r>
        <w:rPr>
          <w:rFonts w:hint="eastAsia" w:asciiTheme="minorEastAsia" w:hAnsiTheme="minorEastAsia" w:eastAsiaTheme="minorEastAsia"/>
          <w:color w:val="auto"/>
          <w:sz w:val="24"/>
        </w:rPr>
        <w:t>硬盘空间。</w:t>
      </w:r>
    </w:p>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（4）监视器和图形显示适配器，至少使用</w:t>
      </w:r>
      <w:r>
        <w:rPr>
          <w:rFonts w:asciiTheme="minorEastAsia" w:hAnsiTheme="minorEastAsia" w:eastAsiaTheme="minorEastAsia"/>
          <w:color w:val="auto"/>
          <w:sz w:val="24"/>
        </w:rPr>
        <w:t>VGA</w:t>
      </w:r>
      <w:r>
        <w:rPr>
          <w:rFonts w:hint="eastAsia" w:asciiTheme="minorEastAsia" w:hAnsiTheme="minorEastAsia" w:eastAsiaTheme="minorEastAsia"/>
          <w:color w:val="auto"/>
          <w:sz w:val="24"/>
        </w:rPr>
        <w:t>显示器。</w:t>
      </w:r>
    </w:p>
    <w:p>
      <w:pPr>
        <w:spacing w:line="360" w:lineRule="auto"/>
        <w:ind w:left="559" w:leftChars="266" w:right="-21" w:rightChars="-10"/>
        <w:rPr>
          <w:rFonts w:asciiTheme="minorEastAsia" w:hAnsiTheme="minorEastAsia" w:eastAsiaTheme="minorEastAsia"/>
          <w:color w:val="auto"/>
          <w:sz w:val="24"/>
        </w:rPr>
      </w:pPr>
      <w:r>
        <w:rPr>
          <w:rFonts w:hint="eastAsia" w:asciiTheme="minorEastAsia" w:hAnsiTheme="minorEastAsia" w:eastAsiaTheme="minorEastAsia"/>
          <w:color w:val="auto"/>
          <w:sz w:val="24"/>
        </w:rPr>
        <w:t>（5）鼠标：鼠标类型为</w:t>
      </w:r>
      <w:r>
        <w:rPr>
          <w:rFonts w:asciiTheme="minorEastAsia" w:hAnsiTheme="minorEastAsia" w:eastAsiaTheme="minorEastAsia"/>
          <w:color w:val="auto"/>
          <w:sz w:val="24"/>
        </w:rPr>
        <w:t>Microsoft Mouse</w:t>
      </w:r>
      <w:r>
        <w:rPr>
          <w:rFonts w:hint="eastAsia" w:asciiTheme="minorEastAsia" w:hAnsiTheme="minorEastAsia" w:eastAsiaTheme="minorEastAsia"/>
          <w:color w:val="auto"/>
          <w:sz w:val="24"/>
        </w:rPr>
        <w:t>及其兼容</w:t>
      </w:r>
      <w:r>
        <w:rPr>
          <w:rFonts w:asciiTheme="minorEastAsia" w:hAnsiTheme="minorEastAsia" w:eastAsiaTheme="minorEastAsia"/>
          <w:color w:val="auto"/>
          <w:sz w:val="24"/>
        </w:rPr>
        <w:t>Mouse</w:t>
      </w:r>
      <w:r>
        <w:rPr>
          <w:rFonts w:hint="eastAsia" w:asciiTheme="minorEastAsia" w:hAnsiTheme="minorEastAsia" w:eastAsiaTheme="minorEastAsia"/>
          <w:color w:val="auto"/>
          <w:sz w:val="24"/>
        </w:rPr>
        <w:t>。</w:t>
      </w:r>
    </w:p>
    <w:p>
      <w:pPr>
        <w:pStyle w:val="30"/>
        <w:numPr>
          <w:ilvl w:val="0"/>
          <w:numId w:val="4"/>
        </w:numPr>
        <w:spacing w:line="360" w:lineRule="auto"/>
        <w:ind w:firstLineChars="0"/>
        <w:rPr>
          <w:rFonts w:cs="宋体" w:asciiTheme="minorEastAsia" w:hAnsiTheme="minorEastAsia" w:eastAsiaTheme="minorEastAsia"/>
          <w:color w:val="auto"/>
          <w:sz w:val="24"/>
        </w:rPr>
      </w:pPr>
      <w:bookmarkStart w:id="7" w:name="_Toc34921716"/>
      <w:r>
        <w:rPr>
          <w:rFonts w:hint="eastAsia" w:cs="宋体" w:asciiTheme="minorEastAsia" w:hAnsiTheme="minorEastAsia" w:eastAsiaTheme="minorEastAsia"/>
          <w:color w:val="auto"/>
          <w:sz w:val="24"/>
        </w:rPr>
        <w:t>操作系统要求</w:t>
      </w:r>
      <w:bookmarkEnd w:id="7"/>
    </w:p>
    <w:p>
      <w:pPr>
        <w:spacing w:line="360" w:lineRule="auto"/>
        <w:ind w:right="-21" w:rightChars="-10"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中文</w:t>
      </w:r>
      <w:r>
        <w:rPr>
          <w:rFonts w:asciiTheme="minorEastAsia" w:hAnsiTheme="minorEastAsia" w:eastAsiaTheme="minorEastAsia"/>
          <w:color w:val="auto"/>
          <w:sz w:val="24"/>
        </w:rPr>
        <w:t>Win</w:t>
      </w:r>
      <w:r>
        <w:rPr>
          <w:rFonts w:hint="eastAsia" w:asciiTheme="minorEastAsia" w:hAnsiTheme="minorEastAsia" w:eastAsiaTheme="minorEastAsia"/>
          <w:color w:val="auto"/>
          <w:sz w:val="24"/>
        </w:rPr>
        <w:t>7专业版及其以上版本操作系统。</w:t>
      </w:r>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道口控制设备要求：</w:t>
      </w:r>
    </w:p>
    <w:p>
      <w:pPr>
        <w:spacing w:line="360" w:lineRule="auto"/>
        <w:ind w:left="425"/>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5.1道口控制箱：</w:t>
      </w:r>
    </w:p>
    <w:p>
      <w:pPr>
        <w:spacing w:line="360" w:lineRule="auto"/>
        <w:ind w:left="424" w:leftChars="202" w:firstLine="360" w:firstLineChars="150"/>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道口控制箱采用户外型双层304不锈钢结构，具备防水、隔热、防尘、防腐蚀的功能。</w:t>
      </w:r>
    </w:p>
    <w:p>
      <w:pPr>
        <w:spacing w:line="360" w:lineRule="auto"/>
        <w:ind w:firstLine="480" w:firstLineChars="200"/>
        <w:rPr>
          <w:rFonts w:asciiTheme="minorEastAsia" w:hAnsiTheme="minorEastAsia" w:eastAsiaTheme="minorEastAsia"/>
          <w:color w:val="auto"/>
          <w:sz w:val="24"/>
        </w:rPr>
      </w:pPr>
      <w:r>
        <w:rPr>
          <w:rFonts w:hint="eastAsia" w:asciiTheme="minorEastAsia" w:hAnsiTheme="minorEastAsia" w:eastAsiaTheme="minorEastAsia"/>
          <w:color w:val="auto"/>
          <w:sz w:val="24"/>
        </w:rPr>
        <w:t>5.2道口供电电源：</w:t>
      </w:r>
    </w:p>
    <w:p>
      <w:pPr>
        <w:spacing w:line="440" w:lineRule="exact"/>
        <w:ind w:firstLine="480" w:firstLineChars="200"/>
        <w:rPr>
          <w:rFonts w:ascii="宋体" w:hAnsi="宋体"/>
          <w:color w:val="auto"/>
          <w:sz w:val="24"/>
        </w:rPr>
      </w:pPr>
      <w:r>
        <w:rPr>
          <w:rFonts w:hint="eastAsia" w:ascii="宋体" w:hAnsi="宋体"/>
          <w:color w:val="auto"/>
          <w:sz w:val="24"/>
        </w:rPr>
        <w:t>道口供电设备配置单独的电源配配电箱，该配电箱采用户外型双层304不锈钢结构， 具有二路电源自动切换功能。</w:t>
      </w:r>
    </w:p>
    <w:p>
      <w:pPr>
        <w:spacing w:line="440" w:lineRule="exact"/>
        <w:ind w:firstLine="480" w:firstLineChars="200"/>
        <w:rPr>
          <w:rFonts w:ascii="宋体" w:hAnsi="宋体"/>
          <w:color w:val="auto"/>
          <w:sz w:val="24"/>
        </w:rPr>
      </w:pPr>
      <w:r>
        <w:rPr>
          <w:rFonts w:hint="eastAsia" w:ascii="宋体" w:hAnsi="宋体"/>
          <w:color w:val="auto"/>
          <w:sz w:val="24"/>
        </w:rPr>
        <w:t>配置UPS不间断电源，待机时长不小于100AH，在市电断电的情况下要自动切换到UPS供电，保障道口设备的稳定、安全运行。</w:t>
      </w:r>
      <w:bookmarkStart w:id="8" w:name="_Toc370375863"/>
    </w:p>
    <w:p>
      <w:pPr>
        <w:spacing w:line="440" w:lineRule="exact"/>
        <w:ind w:firstLine="480" w:firstLineChars="200"/>
        <w:rPr>
          <w:rFonts w:ascii="宋体" w:hAnsi="宋体"/>
          <w:color w:val="auto"/>
          <w:sz w:val="24"/>
        </w:rPr>
      </w:pPr>
      <w:r>
        <w:rPr>
          <w:rFonts w:hint="eastAsia" w:ascii="宋体" w:hAnsi="宋体"/>
          <w:color w:val="auto"/>
          <w:sz w:val="24"/>
        </w:rPr>
        <w:t>5.3栏木机</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主机设备内部应具有机械防逆转的安全结构（安全机械锁），应确保即    即使把所有的电动机设备、电器制动装置全部拆除后，栏杆也不会自动下落，安全可靠。</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栏杆的材质为6063-T5高强度铝合金栅栏，主杆尺寸100</w:t>
      </w:r>
      <w:r>
        <w:rPr>
          <w:rFonts w:ascii="宋体" w:hAnsi="宋体" w:cs="Calibri"/>
          <w:color w:val="auto"/>
          <w:sz w:val="24"/>
        </w:rPr>
        <w:t>×</w:t>
      </w:r>
      <w:r>
        <w:rPr>
          <w:rFonts w:hint="eastAsia" w:ascii="宋体" w:hAnsi="宋体" w:cs="Calibri"/>
          <w:color w:val="auto"/>
          <w:sz w:val="24"/>
        </w:rPr>
        <w:t>45毫米,内衬T形一体加强筋结构，栏杆结构采用双轴式一体抱臂组合，无需另加抗风立柱，避免了刮风时栏杆摆动产生金属疲劳断裂而引起的安全引患，，副杆90</w:t>
      </w:r>
      <w:r>
        <w:rPr>
          <w:rFonts w:ascii="宋体" w:hAnsi="宋体" w:cs="Calibri"/>
          <w:color w:val="auto"/>
          <w:sz w:val="24"/>
        </w:rPr>
        <w:t>×</w:t>
      </w:r>
      <w:r>
        <w:rPr>
          <w:rFonts w:hint="eastAsia" w:ascii="宋体" w:hAnsi="宋体" w:cs="Calibri"/>
          <w:color w:val="auto"/>
          <w:sz w:val="24"/>
        </w:rPr>
        <w:t>45毫米，坚杆及中间横杆55</w:t>
      </w:r>
      <w:r>
        <w:rPr>
          <w:rFonts w:ascii="宋体" w:hAnsi="宋体" w:cs="Calibri"/>
          <w:color w:val="auto"/>
          <w:sz w:val="24"/>
        </w:rPr>
        <w:t>×</w:t>
      </w:r>
      <w:r>
        <w:rPr>
          <w:rFonts w:hint="eastAsia" w:ascii="宋体" w:hAnsi="宋体" w:cs="Calibri"/>
          <w:color w:val="auto"/>
          <w:sz w:val="24"/>
        </w:rPr>
        <w:t>15毫米。栅栏杆采用黑白相间反光漆。整根栏杆不得装钢缆来拉动，整根一体，美观。保证抗风等级不小于8级。</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道口电动栅栏设备栏杆升起时为垂直（误差±5度），栅栏杆全部收起成一线；放下时为水平（误差±5度），栅栏杆全部垂直构成全封闭。道口电动栅栏木设备外部不得有配重等不够美观的附件，应整机美观。</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电动栏木机，采用市电电源220V/50HZ，在道口栅栏杆上配装LED红黄光带，在道口栅栏杆升起时灭灯，在道口栅栏杆自落杆至起到位周期内一直处于点亮。</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电动栏木机具备防砸功能。自接收至落杆信号后，栏木在落杆周期实行自动检测，检测到障碍物后自动升起，无障碍物情况下，栏木机落到位后锁定道口，保证行车安全。</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控制器具备双重保护机制，限位装置采用密封无机械接触式的电磁式控制，内设计时装置，可自由设置电机运转时间，即使限位失效，也不影响栏木机设备正常运转，具备开关到位反馈接口等基本功能、能够通过开关节点及网络协议控制。具备过热、过流、过压保护。</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栏木机要求适用温度-30℃至+70℃无卡顿、抖动等无法正常起落现象。</w:t>
      </w:r>
    </w:p>
    <w:p>
      <w:pPr>
        <w:numPr>
          <w:ilvl w:val="0"/>
          <w:numId w:val="3"/>
        </w:numPr>
        <w:spacing w:line="520" w:lineRule="exact"/>
        <w:ind w:left="0" w:firstLine="422" w:firstLineChars="176"/>
        <w:rPr>
          <w:rFonts w:ascii="宋体" w:hAnsi="宋体" w:cs="Calibri"/>
          <w:color w:val="auto"/>
          <w:sz w:val="24"/>
        </w:rPr>
      </w:pPr>
      <w:r>
        <w:rPr>
          <w:rFonts w:hint="eastAsia" w:ascii="宋体" w:hAnsi="宋体" w:cs="Calibri"/>
          <w:color w:val="auto"/>
          <w:sz w:val="24"/>
        </w:rPr>
        <w:t>栏木机的落杆时机可以由电务人员通过外置电路进行调节。</w:t>
      </w:r>
    </w:p>
    <w:p>
      <w:pPr>
        <w:spacing w:line="440" w:lineRule="exact"/>
        <w:ind w:firstLine="480" w:firstLineChars="200"/>
        <w:rPr>
          <w:rFonts w:ascii="宋体" w:hAnsi="宋体"/>
          <w:color w:val="auto"/>
          <w:sz w:val="24"/>
        </w:rPr>
      </w:pPr>
      <w:r>
        <w:rPr>
          <w:rFonts w:hint="eastAsia" w:ascii="宋体" w:hAnsi="宋体"/>
          <w:color w:val="auto"/>
          <w:sz w:val="24"/>
        </w:rPr>
        <w:t>5.3警报机（道口信号）：</w:t>
      </w:r>
    </w:p>
    <w:p>
      <w:pPr>
        <w:numPr>
          <w:ilvl w:val="0"/>
          <w:numId w:val="5"/>
        </w:numPr>
        <w:spacing w:line="520" w:lineRule="exact"/>
        <w:rPr>
          <w:rFonts w:ascii="宋体" w:hAnsi="宋体" w:cs="Calibri"/>
          <w:color w:val="auto"/>
          <w:sz w:val="24"/>
        </w:rPr>
      </w:pPr>
      <w:r>
        <w:rPr>
          <w:rFonts w:hint="eastAsia" w:ascii="宋体" w:hAnsi="宋体" w:cs="Calibri"/>
          <w:color w:val="auto"/>
          <w:sz w:val="24"/>
        </w:rPr>
        <w:t>在干道路车辆驶向道口方向的右侧设置室外道口信号机。 采用</w:t>
      </w:r>
      <w:r>
        <w:rPr>
          <w:rFonts w:ascii="宋体" w:hAnsi="宋体" w:cs="Calibri"/>
          <w:color w:val="auto"/>
          <w:sz w:val="24"/>
        </w:rPr>
        <w:t>铝合金机构、</w:t>
      </w:r>
      <w:r>
        <w:rPr>
          <w:rFonts w:hint="eastAsia" w:ascii="宋体" w:hAnsi="宋体" w:cs="Calibri"/>
          <w:color w:val="auto"/>
          <w:sz w:val="24"/>
        </w:rPr>
        <w:t>LED发光源。</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道口警报机采用铁路道口专用信号机，道口得到列车接近通知时，白灯熄灭，两个红灯交替闪光，闪烁频率为1分钟60次左右，同时扬声器发出模拟钟声音响或语音报警，警示行人和车辆禁止通行。当列车通过道口后，道口信号自动恢复常态。当闪光设备故障时，显示稳定红色灯光。</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警报机设置灯丝断丝监督设备，当警报机灯丝断丝或者故障时应给看操作员提供设备故障信息。</w:t>
      </w:r>
    </w:p>
    <w:p>
      <w:pPr>
        <w:spacing w:line="440" w:lineRule="exact"/>
        <w:rPr>
          <w:rFonts w:ascii="宋体" w:hAnsi="宋体" w:cs="Calibri"/>
          <w:color w:val="auto"/>
          <w:sz w:val="24"/>
        </w:rPr>
      </w:pPr>
      <w:r>
        <w:rPr>
          <w:rFonts w:hint="eastAsia" w:ascii="宋体" w:hAnsi="宋体" w:cs="Calibri"/>
          <w:color w:val="auto"/>
          <w:sz w:val="24"/>
        </w:rPr>
        <w:t>5.4道口防护信号机：</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沿铁路方向距离平交道口50米处各设置一架上下行道口防护信号机；平时防护信号点红灯，当栏木机全部落杆后该防护信号点绿灯。</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防护信号采用铝合金机构及LED发光源。</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防护信号设置灯丝断丝监督设备，当警报机灯丝断丝或者故障时应给看操作员提供设备故障信息。</w:t>
      </w:r>
    </w:p>
    <w:p>
      <w:pPr>
        <w:numPr>
          <w:ilvl w:val="0"/>
          <w:numId w:val="5"/>
        </w:numPr>
        <w:spacing w:line="520" w:lineRule="exact"/>
        <w:ind w:left="0" w:firstLine="422" w:firstLineChars="176"/>
        <w:rPr>
          <w:rFonts w:ascii="宋体" w:hAnsi="宋体" w:cs="Calibri"/>
          <w:color w:val="auto"/>
          <w:sz w:val="24"/>
        </w:rPr>
      </w:pPr>
      <w:r>
        <w:rPr>
          <w:rFonts w:hint="eastAsia" w:ascii="宋体" w:hAnsi="宋体" w:cs="Calibri"/>
          <w:color w:val="auto"/>
          <w:sz w:val="24"/>
        </w:rPr>
        <w:t>防护信号具备远程手动开放及关闭的功能。</w:t>
      </w:r>
    </w:p>
    <w:p>
      <w:pPr>
        <w:spacing w:line="440" w:lineRule="exact"/>
        <w:rPr>
          <w:rFonts w:ascii="宋体" w:hAnsi="宋体" w:cs="Calibri"/>
          <w:color w:val="auto"/>
          <w:sz w:val="24"/>
        </w:rPr>
      </w:pPr>
      <w:r>
        <w:rPr>
          <w:rFonts w:hint="eastAsia" w:ascii="宋体" w:hAnsi="宋体" w:cs="Calibri"/>
          <w:color w:val="auto"/>
          <w:sz w:val="24"/>
        </w:rPr>
        <w:t>5.5照明补光灯：</w:t>
      </w:r>
    </w:p>
    <w:p>
      <w:pPr>
        <w:spacing w:line="520" w:lineRule="exact"/>
        <w:ind w:left="422" w:leftChars="201" w:firstLine="480" w:firstLineChars="200"/>
        <w:rPr>
          <w:rFonts w:ascii="宋体" w:hAnsi="宋体" w:cs="Calibri"/>
          <w:color w:val="auto"/>
          <w:sz w:val="24"/>
        </w:rPr>
      </w:pPr>
      <w:r>
        <w:rPr>
          <w:rFonts w:hint="eastAsia" w:ascii="宋体" w:hAnsi="宋体" w:cs="Calibri"/>
          <w:color w:val="auto"/>
          <w:sz w:val="24"/>
        </w:rPr>
        <w:t>设置两盏照明补光灯，该补光灯采用不小于100W的LED节能灯，可以通过远程手动开放及关闭该补光灯，主要用于夜间或天气不良照明使用，同时用于道口摄像头的照明补光使用。</w:t>
      </w:r>
    </w:p>
    <w:p>
      <w:pPr>
        <w:spacing w:line="440" w:lineRule="exact"/>
        <w:rPr>
          <w:rFonts w:ascii="宋体" w:hAnsi="宋体" w:cs="Calibri"/>
          <w:color w:val="auto"/>
          <w:sz w:val="24"/>
        </w:rPr>
      </w:pPr>
      <w:r>
        <w:rPr>
          <w:rFonts w:hint="eastAsia" w:ascii="宋体" w:hAnsi="宋体" w:cs="Calibri"/>
          <w:color w:val="auto"/>
          <w:sz w:val="24"/>
        </w:rPr>
        <w:t>5.6道口报警采集设备：</w:t>
      </w:r>
    </w:p>
    <w:p>
      <w:pPr>
        <w:numPr>
          <w:ilvl w:val="0"/>
          <w:numId w:val="6"/>
        </w:numPr>
        <w:spacing w:line="520" w:lineRule="exact"/>
        <w:rPr>
          <w:rFonts w:ascii="宋体" w:hAnsi="宋体" w:cs="Calibri"/>
          <w:color w:val="auto"/>
          <w:sz w:val="24"/>
        </w:rPr>
      </w:pPr>
      <w:r>
        <w:rPr>
          <w:rFonts w:hint="eastAsia" w:ascii="宋体" w:hAnsi="宋体" w:cs="Calibri"/>
          <w:color w:val="auto"/>
          <w:sz w:val="24"/>
        </w:rPr>
        <w:t>道口报警接近、离去的采集设备必须采用故障导向安全型设备。</w:t>
      </w:r>
    </w:p>
    <w:p>
      <w:pPr>
        <w:numPr>
          <w:ilvl w:val="0"/>
          <w:numId w:val="6"/>
        </w:numPr>
        <w:spacing w:line="520" w:lineRule="exact"/>
        <w:ind w:left="0" w:firstLine="422" w:firstLineChars="176"/>
        <w:rPr>
          <w:rFonts w:ascii="宋体" w:hAnsi="宋体" w:cs="Calibri"/>
          <w:color w:val="auto"/>
          <w:sz w:val="24"/>
        </w:rPr>
      </w:pPr>
      <w:r>
        <w:rPr>
          <w:rFonts w:hint="eastAsia" w:ascii="宋体" w:hAnsi="宋体" w:cs="Calibri"/>
          <w:color w:val="auto"/>
          <w:sz w:val="24"/>
        </w:rPr>
        <w:t>道口报警采集点必须采用4个采集点，采集点的距离必须依据最高车速、栏木机的落杆时长、道口处的行人车辆等走向速度进行计算得到具体报警接近长度。</w:t>
      </w:r>
    </w:p>
    <w:p>
      <w:pPr>
        <w:numPr>
          <w:ilvl w:val="0"/>
          <w:numId w:val="6"/>
        </w:numPr>
        <w:spacing w:line="520" w:lineRule="exact"/>
        <w:ind w:left="0" w:firstLine="422" w:firstLineChars="176"/>
        <w:rPr>
          <w:rFonts w:ascii="宋体" w:hAnsi="宋体" w:cs="Calibri"/>
          <w:color w:val="auto"/>
          <w:sz w:val="24"/>
        </w:rPr>
      </w:pPr>
      <w:r>
        <w:rPr>
          <w:rFonts w:hint="eastAsia" w:ascii="宋体" w:hAnsi="宋体" w:cs="Calibri"/>
          <w:color w:val="auto"/>
          <w:sz w:val="24"/>
        </w:rPr>
        <w:t>道口报警采集可以融入站内联锁条件，满足站内至区间临界处道口的自动报警的需求。</w:t>
      </w:r>
    </w:p>
    <w:p>
      <w:pPr>
        <w:numPr>
          <w:ilvl w:val="0"/>
          <w:numId w:val="6"/>
        </w:numPr>
        <w:spacing w:line="520" w:lineRule="exact"/>
        <w:ind w:left="0" w:firstLine="422" w:firstLineChars="176"/>
        <w:rPr>
          <w:rFonts w:ascii="宋体" w:hAnsi="宋体" w:cs="Calibri"/>
          <w:color w:val="auto"/>
          <w:sz w:val="24"/>
        </w:rPr>
      </w:pPr>
      <w:r>
        <w:rPr>
          <w:rFonts w:hint="eastAsia" w:ascii="宋体" w:hAnsi="宋体" w:cs="Calibri"/>
          <w:color w:val="auto"/>
          <w:sz w:val="24"/>
        </w:rPr>
        <w:t>在室外道口采集硬件损坏的情况下，也可以在本地及远程进行人工干预道口报警及停报功能。</w:t>
      </w:r>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语音喊话功能：</w:t>
      </w:r>
    </w:p>
    <w:p>
      <w:pPr>
        <w:numPr>
          <w:ilvl w:val="0"/>
          <w:numId w:val="7"/>
        </w:numPr>
        <w:spacing w:line="520" w:lineRule="exact"/>
        <w:rPr>
          <w:rFonts w:ascii="宋体" w:hAnsi="宋体" w:cs="Calibri"/>
          <w:color w:val="auto"/>
          <w:sz w:val="24"/>
        </w:rPr>
      </w:pPr>
      <w:r>
        <w:rPr>
          <w:rFonts w:hint="eastAsia" w:ascii="宋体" w:hAnsi="宋体" w:cs="Calibri"/>
          <w:color w:val="auto"/>
          <w:sz w:val="24"/>
        </w:rPr>
        <w:t>集控中心设置远程喊话设备，满足操作员对各处道口出现紧急情况的语音喊话，用于驱离道口处的行人及车辆。</w:t>
      </w:r>
    </w:p>
    <w:p>
      <w:pPr>
        <w:numPr>
          <w:ilvl w:val="0"/>
          <w:numId w:val="7"/>
        </w:numPr>
        <w:spacing w:line="520" w:lineRule="exact"/>
        <w:ind w:left="0" w:firstLine="422" w:firstLineChars="176"/>
        <w:rPr>
          <w:rFonts w:cs="宋体" w:asciiTheme="minorEastAsia" w:hAnsiTheme="minorEastAsia" w:eastAsiaTheme="minorEastAsia"/>
          <w:b/>
          <w:color w:val="auto"/>
          <w:sz w:val="24"/>
        </w:rPr>
      </w:pPr>
      <w:r>
        <w:rPr>
          <w:rFonts w:hint="eastAsia" w:ascii="宋体" w:hAnsi="宋体" w:cs="Calibri"/>
          <w:color w:val="auto"/>
          <w:sz w:val="24"/>
        </w:rPr>
        <w:t>对道口喊话进行同步录音、存储，可以按照时间段调出回放，为事故分析提供依据</w:t>
      </w:r>
    </w:p>
    <w:p>
      <w:pPr>
        <w:numPr>
          <w:ilvl w:val="0"/>
          <w:numId w:val="2"/>
        </w:numPr>
        <w:spacing w:line="360" w:lineRule="auto"/>
        <w:rPr>
          <w:rFonts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视频监控功能：</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安装高清摄像头4个，用于公路及铁路沿线方向，监控行人、车辆及火车接近的状态；另外设置一台高清球机用于备份。当方向摄像头故障时可以转向代替，以保证正常作业要求。</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摄像机像素不低于400万像素，带红外功能。</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视频图像延时小于350ms，保证图像不卡顿。</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图像通过网络传至遥控中心实时监督和回放，监控道口路面通行、安全情况。</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实时监视道口过往行人、汽车车辆等现场道口情况。</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视频存储容量满足15-30天。</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实现监视图像以单画面或多画面方式灵活显示功能，根据需要进行切换，图像支持时间、站名、地点、编号等字符叠加显示，显示方式及分辨率灵活可调；</w:t>
      </w:r>
    </w:p>
    <w:p>
      <w:pPr>
        <w:numPr>
          <w:ilvl w:val="0"/>
          <w:numId w:val="7"/>
        </w:numPr>
        <w:spacing w:line="520" w:lineRule="exact"/>
        <w:ind w:left="0" w:firstLine="422" w:firstLineChars="176"/>
        <w:rPr>
          <w:rFonts w:ascii="宋体" w:hAnsi="宋体" w:cs="Calibri"/>
          <w:color w:val="auto"/>
          <w:sz w:val="24"/>
        </w:rPr>
      </w:pPr>
      <w:r>
        <w:rPr>
          <w:rFonts w:hint="eastAsia" w:ascii="宋体" w:hAnsi="宋体" w:cs="Calibri"/>
          <w:color w:val="auto"/>
          <w:sz w:val="24"/>
        </w:rPr>
        <w:t>增设1台云台摄像机，供值班员可以对摄像机进行上、下、左、右转动控制，也可以设置90/180/360度等多角度或全方向自动扫描；</w:t>
      </w:r>
    </w:p>
    <w:p>
      <w:pPr>
        <w:numPr>
          <w:ilvl w:val="0"/>
          <w:numId w:val="7"/>
        </w:numPr>
        <w:spacing w:line="520" w:lineRule="exact"/>
        <w:ind w:left="0" w:firstLine="422" w:firstLineChars="176"/>
        <w:rPr>
          <w:rFonts w:ascii="宋体" w:hAnsi="宋体" w:cs="宋体"/>
          <w:b/>
          <w:color w:val="auto"/>
          <w:sz w:val="24"/>
        </w:rPr>
      </w:pPr>
      <w:r>
        <w:rPr>
          <w:rFonts w:hint="eastAsia" w:ascii="宋体" w:hAnsi="宋体" w:cs="Calibri"/>
          <w:color w:val="auto"/>
          <w:sz w:val="24"/>
        </w:rPr>
        <w:t xml:space="preserve">实现视屏监控存储及回放功能，图像存储采用数字化硬盘存储方式，存储格式采用最新的MPEG-4或H.264，存储容量按照15日*24小时考虑。 </w:t>
      </w:r>
      <w:bookmarkEnd w:id="8"/>
      <w:bookmarkStart w:id="10" w:name="_GoBack"/>
      <w:bookmarkEnd w:id="10"/>
    </w:p>
    <w:p>
      <w:pPr>
        <w:pStyle w:val="3"/>
        <w:numPr>
          <w:ilvl w:val="0"/>
          <w:numId w:val="1"/>
        </w:numPr>
        <w:spacing w:before="200" w:after="200" w:line="360" w:lineRule="auto"/>
        <w:rPr>
          <w:rFonts w:asciiTheme="majorEastAsia" w:hAnsiTheme="majorEastAsia"/>
          <w:color w:val="auto"/>
          <w:sz w:val="28"/>
          <w:szCs w:val="28"/>
        </w:rPr>
      </w:pPr>
      <w:bookmarkStart w:id="9" w:name="_Toc62659622"/>
      <w:r>
        <w:rPr>
          <w:rFonts w:hint="eastAsia" w:asciiTheme="majorEastAsia" w:hAnsiTheme="majorEastAsia"/>
          <w:color w:val="auto"/>
          <w:sz w:val="28"/>
          <w:szCs w:val="28"/>
        </w:rPr>
        <w:t>集控道口设备、材料清单（4处集控道口）</w:t>
      </w:r>
      <w:bookmarkEnd w:id="9"/>
    </w:p>
    <w:tbl>
      <w:tblPr>
        <w:tblStyle w:val="16"/>
        <w:tblW w:w="9640" w:type="dxa"/>
        <w:tblInd w:w="-601" w:type="dxa"/>
        <w:tblLayout w:type="fixed"/>
        <w:tblCellMar>
          <w:top w:w="0" w:type="dxa"/>
          <w:left w:w="108" w:type="dxa"/>
          <w:bottom w:w="0" w:type="dxa"/>
          <w:right w:w="108" w:type="dxa"/>
        </w:tblCellMar>
      </w:tblPr>
      <w:tblGrid>
        <w:gridCol w:w="756"/>
        <w:gridCol w:w="2221"/>
        <w:gridCol w:w="2612"/>
        <w:gridCol w:w="730"/>
        <w:gridCol w:w="1053"/>
        <w:gridCol w:w="2268"/>
      </w:tblGrid>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序号</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部件名称</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规格型号</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单位</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数量</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kern w:val="2"/>
                <w:sz w:val="24"/>
              </w:rPr>
            </w:pPr>
            <w:r>
              <w:rPr>
                <w:rFonts w:hint="eastAsia" w:asciiTheme="minorEastAsia" w:hAnsiTheme="minorEastAsia" w:eastAsiaTheme="minorEastAsia"/>
                <w:b/>
                <w:color w:val="auto"/>
                <w:kern w:val="2"/>
                <w:sz w:val="24"/>
              </w:rPr>
              <w:t>备注</w:t>
            </w:r>
          </w:p>
        </w:tc>
      </w:tr>
      <w:tr>
        <w:tblPrEx>
          <w:tblCellMar>
            <w:top w:w="0" w:type="dxa"/>
            <w:left w:w="108" w:type="dxa"/>
            <w:bottom w:w="0" w:type="dxa"/>
            <w:right w:w="108" w:type="dxa"/>
          </w:tblCellMar>
        </w:tblPrEx>
        <w:trPr>
          <w:cantSplit/>
          <w:trHeight w:val="563"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一、</w:t>
            </w:r>
          </w:p>
        </w:tc>
        <w:tc>
          <w:tcPr>
            <w:tcW w:w="8884" w:type="dxa"/>
            <w:gridSpan w:val="5"/>
            <w:tcBorders>
              <w:top w:val="single" w:color="000000" w:sz="4" w:space="0"/>
              <w:left w:val="single" w:color="000000" w:sz="4" w:space="0"/>
              <w:bottom w:val="single" w:color="000000" w:sz="4" w:space="0"/>
              <w:right w:val="single" w:color="000000" w:sz="4" w:space="0"/>
            </w:tcBorders>
            <w:vAlign w:val="center"/>
          </w:tcPr>
          <w:p>
            <w:pPr>
              <w:jc w:val="left"/>
              <w:rPr>
                <w:rFonts w:cs="宋体" w:asciiTheme="minorEastAsia" w:hAnsiTheme="minorEastAsia" w:eastAsiaTheme="minorEastAsia"/>
                <w:b/>
                <w:color w:val="auto"/>
                <w:sz w:val="24"/>
              </w:rPr>
            </w:pPr>
            <w:r>
              <w:rPr>
                <w:rFonts w:hint="eastAsia" w:asciiTheme="minorEastAsia" w:hAnsiTheme="minorEastAsia" w:eastAsiaTheme="minorEastAsia"/>
                <w:b/>
                <w:color w:val="auto"/>
                <w:sz w:val="24"/>
              </w:rPr>
              <w:t>道口设备、材料</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道口控制箱</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双层304不锈钢</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套</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cs="宋体" w:asciiTheme="minorEastAsia" w:hAnsiTheme="minorEastAsia" w:eastAsiaTheme="minorEastAsia"/>
                <w:color w:val="auto"/>
                <w:sz w:val="24"/>
                <w:lang w:eastAsia="zh-CN"/>
              </w:rPr>
            </w:pPr>
            <w:r>
              <w:rPr>
                <w:rFonts w:hint="eastAsia" w:asciiTheme="minorEastAsia" w:hAnsiTheme="minorEastAsia" w:eastAsiaTheme="minorEastAsia"/>
                <w:color w:val="auto"/>
                <w:sz w:val="24"/>
                <w:lang w:val="en-US" w:eastAsia="zh-CN"/>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PLC</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6ES7214-1BG40-0XB0</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color w:val="auto"/>
              </w:rPr>
              <w:t>PLC 扩展模块</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color w:val="auto"/>
              </w:rPr>
              <w:t>6ES72231PH320XB0</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人工控制盘</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HJ-RGKZP</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5</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栏木机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具有防砸型、闪光警示灯带、防风</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按一处2台设计</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6</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闭路式控制器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DK·KB</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防雷型</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7</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开路式控制器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DK·KK</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防雷型</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道口信号机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3灯位</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套</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铁路专用</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9</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防护信号机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红、绿</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架</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10</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防护信号机杆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8.5米水泥杆</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含基础</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11</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交通灯</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红、绿、黄</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架</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12</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交通灯立杆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6.5米</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含地笼、基础</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13</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交流传感器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K1I1KS41</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¥350</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14</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箱盒</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复合材料XB2</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　</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含基础</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15</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终端盒</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复合材料HZ12</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含基础</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16</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终端盒</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复合材料HZ0</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17</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钢轨引接线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1.6米 19股免维护</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18</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钢轨引接线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3.6米 19股免维护</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19</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信号电缆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PTYA23-12芯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0.85</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20</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信号电缆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PTYA23-6芯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11.39</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21</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信号电缆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PTYA23-4芯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0.85</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22</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室外电源线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2.5MM2</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0.5</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23</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Times New Roman" w:asciiTheme="minorEastAsia" w:hAnsiTheme="minorEastAsia" w:eastAsiaTheme="minorEastAsia"/>
                <w:color w:val="auto"/>
                <w:sz w:val="24"/>
                <w:szCs w:val="24"/>
                <w:lang w:val="en-US" w:eastAsia="zh-CN" w:bidi="ar-SA"/>
              </w:rPr>
            </w:pPr>
            <w:r>
              <w:rPr>
                <w:rFonts w:hint="eastAsia" w:asciiTheme="minorEastAsia" w:hAnsiTheme="minorEastAsia" w:eastAsiaTheme="minorEastAsia"/>
                <w:color w:val="auto"/>
                <w:sz w:val="24"/>
              </w:rPr>
              <w:t>防水喇叭</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Times New Roman" w:asciiTheme="minorEastAsia" w:hAnsiTheme="minorEastAsia" w:eastAsiaTheme="minorEastAsia"/>
                <w:color w:val="auto"/>
                <w:sz w:val="24"/>
                <w:szCs w:val="24"/>
                <w:lang w:val="en-US" w:eastAsia="zh-CN" w:bidi="ar-SA"/>
              </w:rPr>
            </w:pP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Times New Roman" w:asciiTheme="minorEastAsia" w:hAnsiTheme="minorEastAsia" w:eastAsiaTheme="minorEastAsia"/>
                <w:color w:val="auto"/>
                <w:sz w:val="24"/>
                <w:szCs w:val="24"/>
                <w:lang w:val="en-US" w:eastAsia="zh-CN" w:bidi="ar-SA"/>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Times New Roman" w:asciiTheme="minorEastAsia" w:hAnsiTheme="minorEastAsia" w:eastAsiaTheme="minorEastAsia"/>
                <w:color w:val="auto"/>
                <w:sz w:val="24"/>
                <w:szCs w:val="24"/>
                <w:lang w:val="en-US" w:eastAsia="zh-CN" w:bidi="ar-SA"/>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二、</w:t>
            </w:r>
          </w:p>
        </w:tc>
        <w:tc>
          <w:tcPr>
            <w:tcW w:w="8884"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道口供电电源</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UPS</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asciiTheme="minorEastAsia" w:hAnsiTheme="minorEastAsia" w:eastAsiaTheme="minorEastAsia"/>
                <w:color w:val="auto"/>
                <w:sz w:val="24"/>
              </w:rPr>
              <w:t>UPS2000-G-3KRTL</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UPS电池</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G-GFM-100</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节</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32</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UPS柜</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双层304不锈钢</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电源自动切换装置</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套</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82"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5</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供电电缆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铜芯YJV VV22铠装</w:t>
            </w:r>
            <w:r>
              <w:rPr>
                <w:rFonts w:asciiTheme="minorEastAsia" w:hAnsiTheme="minorEastAsia" w:eastAsiaTheme="minorEastAsia"/>
                <w:color w:val="auto"/>
                <w:sz w:val="24"/>
              </w:rPr>
              <w:br w:type="textWrapping"/>
            </w:r>
            <w:r>
              <w:rPr>
                <w:rFonts w:hint="eastAsia" w:asciiTheme="minorEastAsia" w:hAnsiTheme="minorEastAsia" w:eastAsiaTheme="minorEastAsia"/>
                <w:color w:val="auto"/>
                <w:sz w:val="24"/>
              </w:rPr>
              <w:t>2芯16平方</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5.7</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国标</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三、</w:t>
            </w:r>
          </w:p>
        </w:tc>
        <w:tc>
          <w:tcPr>
            <w:tcW w:w="8884"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b/>
                <w:color w:val="auto"/>
                <w:sz w:val="24"/>
              </w:rPr>
              <w:t>视频监控设备、材料</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光缆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12芯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 13.5</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终端盒</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12芯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 5</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光纤跳线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3m（fc-lc单根）</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8 </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尾纤</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3m（fc-lc单根）</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8 </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光纤交换机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8口千兆电2光</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4 </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光纤交换机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24电8光</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光模块</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单口单芯bidi40km</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个</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 xml:space="preserve">8 </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摄像头电源线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4*1M²</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1.36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红绿灯电源线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4*1M²</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0.64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电源线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2*6M²机柜操作台用</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0.20</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网线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室外铠装网线</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KM</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1.36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网线</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室内超五类网线</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箱</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32路2盘位265录像机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DS-7832N-K2</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4T监控盘</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块</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解码器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DS-6904UD、海康</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Poe交换机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海康</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LED照明灯</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200w</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盏</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枪机摄像头</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高清红外</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16</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立杆与交通杆共用</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球型摄像机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高清红外</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cs="宋体"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球型摄像机立杆</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4米</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根</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液晶显示器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55英寸高画质4K超高清HDR</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含壁挂支架</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numPr>
                <w:ilvl w:val="0"/>
                <w:numId w:val="8"/>
              </w:num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液晶显示器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27寸</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供球机显示</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四、</w:t>
            </w:r>
          </w:p>
        </w:tc>
        <w:tc>
          <w:tcPr>
            <w:tcW w:w="8884" w:type="dxa"/>
            <w:gridSpan w:val="5"/>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集控终端设备</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标准计算机柜</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42U</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2</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UPS不间断电源</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cs="宋体" w:asciiTheme="minorEastAsia" w:hAnsiTheme="minorEastAsia" w:eastAsiaTheme="minorEastAsia"/>
                <w:color w:val="auto"/>
                <w:sz w:val="24"/>
              </w:rPr>
              <w:t>UPS2000-G-3KRTL</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语音喊话设备</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IP网络寻呼主机</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4</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语音喊话设备</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IP音频终端</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4</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5</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工控机</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研华</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3</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i5处理器、8G常规内存。</w:t>
            </w:r>
          </w:p>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、250GB硬盘</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6</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显示器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飞利浦32寸</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控制终端用</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7</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显示器</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飞利浦19寸</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服务器用</w:t>
            </w: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color w:val="auto"/>
                <w:sz w:val="24"/>
              </w:rPr>
              <w:t>8</w:t>
            </w: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控制台</w:t>
            </w: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1500*750*700</w:t>
            </w: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台</w:t>
            </w: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cs="宋体" w:asciiTheme="minorEastAsia" w:hAnsiTheme="minorEastAsia" w:eastAsiaTheme="minorEastAsia"/>
                <w:color w:val="auto"/>
                <w:sz w:val="24"/>
              </w:rPr>
              <w:t>1</w:t>
            </w: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000000" w:sz="4" w:space="0"/>
              <w:right w:val="single" w:color="000000" w:sz="4" w:space="0"/>
            </w:tcBorders>
            <w:vAlign w:val="center"/>
          </w:tcPr>
          <w:p>
            <w:pPr>
              <w:jc w:val="center"/>
              <w:rPr>
                <w:rFonts w:asciiTheme="minorEastAsia" w:hAnsiTheme="minorEastAsia" w:eastAsiaTheme="minorEastAsia"/>
                <w:color w:val="auto"/>
                <w:sz w:val="24"/>
              </w:rPr>
            </w:pPr>
          </w:p>
        </w:tc>
        <w:tc>
          <w:tcPr>
            <w:tcW w:w="2221"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c>
          <w:tcPr>
            <w:tcW w:w="2612"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c>
          <w:tcPr>
            <w:tcW w:w="730"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c>
          <w:tcPr>
            <w:tcW w:w="1053"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pPr>
              <w:jc w:val="center"/>
              <w:rPr>
                <w:rFonts w:cs="宋体" w:asciiTheme="minorEastAsia" w:hAnsiTheme="minorEastAsia" w:eastAsiaTheme="minorEastAsia"/>
                <w:color w:val="auto"/>
                <w:sz w:val="24"/>
              </w:rPr>
            </w:pPr>
          </w:p>
        </w:tc>
      </w:tr>
      <w:tr>
        <w:tblPrEx>
          <w:tblCellMar>
            <w:top w:w="0" w:type="dxa"/>
            <w:left w:w="108" w:type="dxa"/>
            <w:bottom w:w="0" w:type="dxa"/>
            <w:right w:w="108" w:type="dxa"/>
          </w:tblCellMar>
        </w:tblPrEx>
        <w:trPr>
          <w:cantSplit/>
          <w:trHeight w:val="567" w:hRule="atLeast"/>
        </w:trPr>
        <w:tc>
          <w:tcPr>
            <w:tcW w:w="756" w:type="dxa"/>
            <w:tcBorders>
              <w:top w:val="single" w:color="000000" w:sz="4" w:space="0"/>
              <w:left w:val="single" w:color="000000" w:sz="4" w:space="0"/>
              <w:bottom w:val="single" w:color="auto" w:sz="4" w:space="0"/>
              <w:right w:val="single" w:color="000000" w:sz="4" w:space="0"/>
            </w:tcBorders>
            <w:vAlign w:val="center"/>
          </w:tcPr>
          <w:p>
            <w:pPr>
              <w:jc w:val="center"/>
              <w:rPr>
                <w:rFonts w:cs="Times New Roman" w:asciiTheme="minorEastAsia" w:hAnsiTheme="minorEastAsia" w:eastAsiaTheme="minorEastAsia"/>
                <w:b/>
                <w:color w:val="auto"/>
                <w:sz w:val="24"/>
                <w:szCs w:val="24"/>
                <w:lang w:val="en-US" w:eastAsia="zh-CN" w:bidi="ar-SA"/>
              </w:rPr>
            </w:pPr>
            <w:r>
              <w:rPr>
                <w:rFonts w:hint="eastAsia" w:asciiTheme="minorEastAsia" w:hAnsiTheme="minorEastAsia" w:eastAsiaTheme="minorEastAsia"/>
                <w:b/>
                <w:color w:val="auto"/>
                <w:sz w:val="24"/>
              </w:rPr>
              <w:t>五、</w:t>
            </w:r>
          </w:p>
        </w:tc>
        <w:tc>
          <w:tcPr>
            <w:tcW w:w="8884" w:type="dxa"/>
            <w:gridSpan w:val="5"/>
            <w:tcBorders>
              <w:top w:val="single" w:color="000000" w:sz="4" w:space="0"/>
              <w:left w:val="single" w:color="000000" w:sz="4" w:space="0"/>
              <w:bottom w:val="single" w:color="auto" w:sz="4" w:space="0"/>
              <w:right w:val="single" w:color="000000"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b/>
                <w:color w:val="auto"/>
                <w:sz w:val="24"/>
              </w:rPr>
              <w:t>大桥视频监控设备</w:t>
            </w: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1</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光缆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12芯</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4000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2</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电源线</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2*1㎡</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50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3</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网线</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室外超5</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50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监控立杆</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5米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根</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5</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室外防水箱</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304不锈钢</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个</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6</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太阳能供电</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监控专用</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套</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7</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摄像机</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海康全彩200万</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台</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8</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光纤收发器</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单模单纤20km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台</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8</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9</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尾纤</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FC-SC 2m</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根</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16</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10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光缆终端盒</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4芯fc满配</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个</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r>
              <w:rPr>
                <w:rFonts w:hint="eastAsia"/>
                <w:sz w:val="22"/>
                <w:szCs w:val="22"/>
              </w:rPr>
              <w:t>4</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sz w:val="22"/>
                <w:szCs w:val="22"/>
                <w:lang w:val="en-US" w:eastAsia="zh-CN" w:bidi="ar-SA"/>
              </w:rPr>
            </w:pP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cs="Times New Roman" w:asciiTheme="minorEastAsia" w:hAnsiTheme="minorEastAsia" w:eastAsiaTheme="minorEastAsia"/>
                <w:b/>
                <w:color w:val="auto"/>
                <w:sz w:val="24"/>
                <w:szCs w:val="24"/>
                <w:lang w:val="en-US" w:eastAsia="zh-CN" w:bidi="ar-SA"/>
              </w:rPr>
            </w:pPr>
            <w:r>
              <w:rPr>
                <w:rFonts w:hint="eastAsia" w:asciiTheme="minorEastAsia" w:hAnsiTheme="minorEastAsia" w:eastAsiaTheme="minorEastAsia"/>
                <w:b/>
                <w:color w:val="auto"/>
                <w:sz w:val="24"/>
                <w:lang w:val="en-US" w:eastAsia="zh-CN"/>
              </w:rPr>
              <w:t>六</w:t>
            </w:r>
          </w:p>
        </w:tc>
        <w:tc>
          <w:tcPr>
            <w:tcW w:w="8884" w:type="dxa"/>
            <w:gridSpan w:val="5"/>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color w:val="auto"/>
                <w:sz w:val="24"/>
              </w:rPr>
            </w:pPr>
            <w:r>
              <w:rPr>
                <w:rFonts w:hint="eastAsia" w:asciiTheme="minorEastAsia" w:hAnsiTheme="minorEastAsia" w:eastAsiaTheme="minorEastAsia"/>
                <w:b/>
                <w:color w:val="auto"/>
                <w:sz w:val="24"/>
                <w:lang w:val="en-US" w:eastAsia="zh-CN"/>
              </w:rPr>
              <w:t>防护栅栏</w:t>
            </w:r>
          </w:p>
        </w:tc>
      </w:tr>
      <w:tr>
        <w:tblPrEx>
          <w:tblCellMar>
            <w:top w:w="0" w:type="dxa"/>
            <w:left w:w="108" w:type="dxa"/>
            <w:bottom w:w="0" w:type="dxa"/>
            <w:right w:w="108" w:type="dxa"/>
          </w:tblCellMar>
        </w:tblPrEx>
        <w:trPr>
          <w:cantSplit/>
          <w:trHeight w:val="567"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color w:val="000000"/>
                <w:sz w:val="22"/>
                <w:szCs w:val="22"/>
                <w:lang w:val="en-US" w:eastAsia="zh-CN" w:bidi="ar-SA"/>
              </w:rPr>
            </w:pPr>
            <w:r>
              <w:rPr>
                <w:rFonts w:hint="eastAsia"/>
                <w:sz w:val="22"/>
                <w:szCs w:val="22"/>
                <w:lang w:val="en-US" w:eastAsia="zh-CN"/>
              </w:rPr>
              <w:t>1</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000000"/>
                <w:sz w:val="22"/>
                <w:szCs w:val="22"/>
                <w:lang w:val="en-US" w:eastAsia="zh-CN" w:bidi="ar-SA"/>
              </w:rPr>
            </w:pPr>
            <w:r>
              <w:rPr>
                <w:rFonts w:hint="eastAsia"/>
                <w:sz w:val="22"/>
                <w:szCs w:val="22"/>
                <w:lang w:val="en-US" w:eastAsia="zh-CN"/>
              </w:rPr>
              <w:t>防护栅栏</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000000"/>
                <w:sz w:val="22"/>
                <w:szCs w:val="22"/>
                <w:lang w:val="en-US" w:eastAsia="zh-CN" w:bidi="ar-SA"/>
              </w:rPr>
            </w:pPr>
            <w:r>
              <w:rPr>
                <w:rFonts w:hint="eastAsia"/>
                <w:sz w:val="22"/>
                <w:szCs w:val="22"/>
                <w:lang w:val="en-US" w:eastAsia="zh-CN"/>
              </w:rPr>
              <w:t>1.4米高</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宋体" w:cs="Times New Roman"/>
                <w:color w:val="000000"/>
                <w:sz w:val="22"/>
                <w:szCs w:val="22"/>
                <w:lang w:val="en-US" w:eastAsia="zh-CN" w:bidi="ar-SA"/>
              </w:rPr>
            </w:pPr>
            <w:r>
              <w:rPr>
                <w:rFonts w:hint="eastAsia"/>
                <w:sz w:val="22"/>
                <w:szCs w:val="22"/>
                <w:lang w:val="en-US" w:eastAsia="zh-CN"/>
              </w:rPr>
              <w:t>米</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宋体" w:cs="Times New Roman"/>
                <w:color w:val="000000"/>
                <w:sz w:val="22"/>
                <w:szCs w:val="22"/>
                <w:lang w:val="en-US" w:eastAsia="zh-CN" w:bidi="ar-SA"/>
              </w:rPr>
            </w:pPr>
            <w:r>
              <w:rPr>
                <w:rFonts w:hint="eastAsia"/>
                <w:sz w:val="22"/>
                <w:szCs w:val="22"/>
                <w:lang w:val="en-US" w:eastAsia="zh-CN"/>
              </w:rPr>
              <w:t>800</w:t>
            </w:r>
          </w:p>
        </w:tc>
        <w:tc>
          <w:tcPr>
            <w:tcW w:w="0" w:type="auto"/>
            <w:tcBorders>
              <w:top w:val="single" w:color="auto" w:sz="4" w:space="0"/>
              <w:left w:val="single" w:color="auto" w:sz="4" w:space="0"/>
              <w:bottom w:val="single" w:color="auto" w:sz="4" w:space="0"/>
              <w:right w:val="single" w:color="auto" w:sz="4" w:space="0"/>
            </w:tcBorders>
            <w:vAlign w:val="center"/>
          </w:tcPr>
          <w:p>
            <w:pPr>
              <w:jc w:val="center"/>
              <w:rPr>
                <w:rFonts w:cs="Times New Roman" w:asciiTheme="minorEastAsia" w:hAnsiTheme="minorEastAsia" w:eastAsiaTheme="minorEastAsia"/>
                <w:b/>
                <w:color w:val="auto"/>
                <w:sz w:val="24"/>
                <w:szCs w:val="24"/>
                <w:lang w:val="en-US" w:eastAsia="zh-CN" w:bidi="ar-SA"/>
              </w:rPr>
            </w:pPr>
          </w:p>
        </w:tc>
      </w:tr>
    </w:tbl>
    <w:p>
      <w:pPr>
        <w:spacing w:line="520" w:lineRule="exact"/>
        <w:jc w:val="left"/>
        <w:rPr>
          <w:rFonts w:hint="eastAsia" w:asciiTheme="minorEastAsia" w:hAnsiTheme="minorEastAsia" w:eastAsiaTheme="minorEastAsia" w:cstheme="minorEastAsia"/>
          <w:b/>
          <w:bCs/>
          <w:sz w:val="28"/>
          <w:szCs w:val="28"/>
          <w:lang w:val="zh-CN"/>
        </w:rPr>
      </w:pPr>
      <w:r>
        <w:rPr>
          <w:rFonts w:hint="eastAsia" w:ascii="宋体" w:hAnsi="宋体"/>
          <w:b/>
          <w:bCs/>
          <w:color w:val="auto"/>
          <w:sz w:val="28"/>
          <w:szCs w:val="28"/>
        </w:rPr>
        <mc:AlternateContent>
          <mc:Choice Requires="wps">
            <w:drawing>
              <wp:anchor distT="0" distB="0" distL="114300" distR="114300" simplePos="0" relativeHeight="251679744" behindDoc="1" locked="0" layoutInCell="1" allowOverlap="1">
                <wp:simplePos x="0" y="0"/>
                <wp:positionH relativeFrom="column">
                  <wp:posOffset>3663315</wp:posOffset>
                </wp:positionH>
                <wp:positionV relativeFrom="paragraph">
                  <wp:posOffset>118110</wp:posOffset>
                </wp:positionV>
                <wp:extent cx="1818640" cy="1810385"/>
                <wp:effectExtent l="0" t="0" r="28575" b="21590"/>
                <wp:wrapNone/>
                <wp:docPr id="83" name="文本框 83"/>
                <wp:cNvGraphicFramePr/>
                <a:graphic xmlns:a="http://schemas.openxmlformats.org/drawingml/2006/main">
                  <a:graphicData uri="http://schemas.microsoft.com/office/word/2010/wordprocessingShape">
                    <wps:wsp>
                      <wps:cNvSpPr txBox="1">
                        <a:spLocks noChangeArrowheads="1"/>
                      </wps:cNvSpPr>
                      <wps:spPr bwMode="auto">
                        <a:xfrm>
                          <a:off x="0" y="0"/>
                          <a:ext cx="1818640" cy="1810385"/>
                        </a:xfrm>
                        <a:prstGeom prst="rect">
                          <a:avLst/>
                        </a:prstGeom>
                        <a:solidFill>
                          <a:srgbClr val="FFFFFF"/>
                        </a:solidFill>
                        <a:ln w="9525">
                          <a:solidFill>
                            <a:srgbClr val="FFFFFF"/>
                          </a:solidFill>
                          <a:miter lim="800000"/>
                        </a:ln>
                      </wps:spPr>
                      <wps:txbx>
                        <w:txbxContent>
                          <w:p/>
                        </w:txbxContent>
                      </wps:txbx>
                      <wps:bodyPr rot="0" vert="horz" wrap="none" lIns="91440" tIns="45720" rIns="91440" bIns="45720" anchor="t" anchorCtr="0" upright="1">
                        <a:spAutoFit/>
                      </wps:bodyPr>
                    </wps:wsp>
                  </a:graphicData>
                </a:graphic>
              </wp:anchor>
            </w:drawing>
          </mc:Choice>
          <mc:Fallback>
            <w:pict>
              <v:shape id="_x0000_s1026" o:spid="_x0000_s1026" o:spt="202" type="#_x0000_t202" style="position:absolute;left:0pt;margin-left:288.45pt;margin-top:9.3pt;height:142.55pt;width:143.2pt;mso-wrap-style:none;z-index:-251636736;mso-width-relative:page;mso-height-relative:page;" fillcolor="#FFFFFF" filled="t" stroked="t" coordsize="21600,21600" o:gfxdata="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ZhFcZdoAAAAKAQAADwAAAAAAAAABACAAAAAiAAAAZHJz&#10;L2Rvd25yZXYueG1sUEsBAhQAFAAAAAgAh07iQIVkigo7AgAAiAQAAA4AAAAAAAAAAQAgAAAAKQEA&#10;AGRycy9lMm9Eb2MueG1sUEsFBgAAAAAGAAYAWQEAANYFAAAAAA==&#10;">
                <v:fill on="t" focussize="0,0"/>
                <v:stroke color="#FFFFFF" miterlimit="8" joinstyle="miter"/>
                <v:imagedata o:title=""/>
                <o:lock v:ext="edit" aspectratio="f"/>
                <v:textbox style="mso-fit-shape-to-text:t;">
                  <w:txbxContent>
                    <w:p/>
                  </w:txbxContent>
                </v:textbox>
              </v:shape>
            </w:pict>
          </mc:Fallback>
        </mc:AlternateContent>
      </w:r>
      <w:r>
        <w:rPr>
          <w:rFonts w:hint="eastAsia" w:asciiTheme="minorEastAsia" w:hAnsiTheme="minorEastAsia" w:eastAsiaTheme="minorEastAsia"/>
          <w:b/>
          <w:bCs/>
          <w:color w:val="auto"/>
          <w:kern w:val="2"/>
          <w:sz w:val="28"/>
          <w:szCs w:val="28"/>
          <w:lang w:val="en-US" w:eastAsia="zh-CN"/>
        </w:rPr>
        <w:t>6.</w:t>
      </w:r>
      <w:r>
        <w:rPr>
          <w:rFonts w:hint="eastAsia" w:asciiTheme="minorEastAsia" w:hAnsiTheme="minorEastAsia" w:eastAsiaTheme="minorEastAsia" w:cstheme="minorEastAsia"/>
          <w:b/>
          <w:bCs/>
          <w:sz w:val="28"/>
          <w:szCs w:val="28"/>
          <w:lang w:val="zh-CN"/>
        </w:rPr>
        <w:t>产品质量保证及技术服务</w:t>
      </w:r>
    </w:p>
    <w:p>
      <w:pPr>
        <w:pStyle w:val="3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1、该产品经检验合格出厂后，产品质保期为12个月，质保期内由于质量和运输原因造成的元器件的损坏，</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给予无偿更换。</w:t>
      </w:r>
    </w:p>
    <w:p>
      <w:pPr>
        <w:pStyle w:val="30"/>
        <w:numPr>
          <w:ilvl w:val="0"/>
          <w:numId w:val="0"/>
        </w:numPr>
        <w:autoSpaceDE w:val="0"/>
        <w:autoSpaceDN w:val="0"/>
        <w:spacing w:line="360" w:lineRule="auto"/>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 xml:space="preserve">2、如需要售后服务，24小时内到达现场。免费指导设备的安装、调试和培训。 </w:t>
      </w:r>
    </w:p>
    <w:p>
      <w:pPr>
        <w:spacing w:line="500" w:lineRule="exact"/>
        <w:jc w:val="left"/>
        <w:rPr>
          <w:rFonts w:ascii="宋体" w:hAnsi="宋体"/>
          <w:color w:val="auto"/>
          <w:sz w:val="28"/>
          <w:szCs w:val="28"/>
        </w:rPr>
      </w:pPr>
      <w:r>
        <w:rPr>
          <w:rFonts w:hint="eastAsia" w:asciiTheme="minorEastAsia" w:hAnsiTheme="minorEastAsia" w:eastAsiaTheme="minorEastAsia" w:cstheme="minorEastAsia"/>
          <w:sz w:val="28"/>
          <w:szCs w:val="28"/>
          <w:lang w:val="zh-CN"/>
        </w:rPr>
        <w:t>3、质保期后，</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同样对产品质量给予良好的服务，如出现质量问题，及时派人到现场协助甲方解决，免费提供终身现场技术服务。</w:t>
      </w:r>
    </w:p>
    <w:p>
      <w:pPr>
        <w:spacing w:line="500" w:lineRule="exact"/>
        <w:ind w:firstLine="3402" w:firstLineChars="1215"/>
        <w:jc w:val="left"/>
        <w:rPr>
          <w:rFonts w:ascii="宋体" w:hAnsi="宋体"/>
          <w:color w:val="auto"/>
          <w:sz w:val="28"/>
          <w:szCs w:val="28"/>
        </w:rPr>
      </w:pPr>
    </w:p>
    <w:p>
      <w:pPr>
        <w:pStyle w:val="30"/>
        <w:spacing w:line="360" w:lineRule="auto"/>
        <w:ind w:left="0" w:leftChars="0" w:firstLine="0" w:firstLineChars="0"/>
        <w:jc w:val="left"/>
        <w:rPr>
          <w:rFonts w:hint="eastAsia" w:asciiTheme="minorEastAsia" w:hAnsiTheme="minorEastAsia" w:eastAsiaTheme="minorEastAsia" w:cstheme="minorEastAsia"/>
          <w:b/>
          <w:bCs/>
          <w:sz w:val="28"/>
          <w:szCs w:val="28"/>
          <w:lang w:val="zh-CN"/>
        </w:rPr>
      </w:pPr>
      <w:r>
        <w:rPr>
          <w:rFonts w:hint="eastAsia" w:ascii="宋体" w:hAnsi="宋体"/>
          <w:b/>
          <w:bCs/>
          <w:color w:val="auto"/>
          <w:sz w:val="28"/>
          <w:szCs w:val="28"/>
          <w:lang w:val="en-US" w:eastAsia="zh-CN"/>
        </w:rPr>
        <w:t>7.</w:t>
      </w:r>
      <w:r>
        <w:rPr>
          <w:rFonts w:hint="eastAsia" w:asciiTheme="minorEastAsia" w:hAnsiTheme="minorEastAsia" w:eastAsiaTheme="minorEastAsia" w:cstheme="minorEastAsia"/>
          <w:b/>
          <w:bCs/>
          <w:sz w:val="28"/>
          <w:szCs w:val="28"/>
          <w:lang w:val="zh-CN"/>
        </w:rPr>
        <w:t>其它要求</w:t>
      </w:r>
    </w:p>
    <w:p>
      <w:pPr>
        <w:pStyle w:val="30"/>
        <w:spacing w:line="360" w:lineRule="auto"/>
        <w:ind w:left="0" w:leftChars="0" w:firstLine="0" w:firstLineChars="0"/>
        <w:jc w:val="lef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t>1、</w:t>
      </w:r>
      <w:r>
        <w:rPr>
          <w:rFonts w:hint="eastAsia" w:asciiTheme="minorEastAsia" w:hAnsiTheme="minorEastAsia" w:eastAsiaTheme="minorEastAsia" w:cstheme="minorEastAsia"/>
          <w:sz w:val="28"/>
          <w:szCs w:val="28"/>
          <w:lang w:val="zh-CN" w:eastAsia="zh-CN"/>
        </w:rPr>
        <w:t>供货方</w:t>
      </w:r>
      <w:r>
        <w:rPr>
          <w:rFonts w:hint="eastAsia" w:asciiTheme="minorEastAsia" w:hAnsiTheme="minorEastAsia" w:eastAsiaTheme="minorEastAsia" w:cstheme="minorEastAsia"/>
          <w:sz w:val="28"/>
          <w:szCs w:val="28"/>
          <w:lang w:val="zh-CN"/>
        </w:rPr>
        <w:t>必需提供设备的使用说明图、图纸等技术资料，提供产品合格证原件，并给</w:t>
      </w:r>
      <w:r>
        <w:rPr>
          <w:rFonts w:hint="eastAsia" w:asciiTheme="minorEastAsia" w:hAnsiTheme="minorEastAsia" w:eastAsiaTheme="minorEastAsia" w:cstheme="minorEastAsia"/>
          <w:sz w:val="28"/>
          <w:szCs w:val="28"/>
          <w:lang w:val="en-US" w:eastAsia="zh-CN"/>
        </w:rPr>
        <w:t>使用单位</w:t>
      </w:r>
      <w:r>
        <w:rPr>
          <w:rFonts w:hint="eastAsia" w:asciiTheme="minorEastAsia" w:hAnsiTheme="minorEastAsia" w:eastAsiaTheme="minorEastAsia" w:cstheme="minorEastAsia"/>
          <w:sz w:val="28"/>
          <w:szCs w:val="28"/>
          <w:lang w:val="zh-CN"/>
        </w:rPr>
        <w:t>的工作人员提供免费培训。</w:t>
      </w:r>
    </w:p>
    <w:p>
      <w:pPr>
        <w:pStyle w:val="30"/>
        <w:spacing w:line="360" w:lineRule="auto"/>
        <w:ind w:left="0" w:leftChars="0" w:firstLine="0" w:firstLineChars="0"/>
        <w:jc w:val="left"/>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rPr>
        <w:t>2、交货时间：</w:t>
      </w:r>
      <w:r>
        <w:rPr>
          <w:rFonts w:hint="eastAsia" w:asciiTheme="minorEastAsia" w:hAnsiTheme="minorEastAsia" w:eastAsiaTheme="minorEastAsia" w:cstheme="minorEastAsia"/>
          <w:sz w:val="28"/>
          <w:szCs w:val="28"/>
          <w:lang w:val="zh-CN" w:eastAsia="zh-CN"/>
        </w:rPr>
        <w:t>合同签订后一个月</w:t>
      </w:r>
    </w:p>
    <w:p>
      <w:pPr>
        <w:pStyle w:val="30"/>
        <w:spacing w:line="360" w:lineRule="auto"/>
        <w:ind w:left="0" w:leftChars="0" w:firstLine="0" w:firstLineChars="0"/>
        <w:jc w:val="left"/>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rPr>
        <w:t>3、交货地点：</w:t>
      </w:r>
      <w:r>
        <w:rPr>
          <w:rFonts w:hint="eastAsia" w:asciiTheme="minorEastAsia" w:hAnsiTheme="minorEastAsia" w:eastAsiaTheme="minorEastAsia" w:cstheme="minorEastAsia"/>
          <w:sz w:val="28"/>
          <w:szCs w:val="28"/>
          <w:lang w:val="zh-CN" w:eastAsia="zh-CN"/>
        </w:rPr>
        <w:t>信湖煤矿</w:t>
      </w:r>
    </w:p>
    <w:p>
      <w:pPr>
        <w:spacing w:line="500" w:lineRule="exact"/>
        <w:jc w:val="both"/>
        <w:rPr>
          <w:rFonts w:hint="default" w:ascii="宋体" w:hAnsi="宋体" w:eastAsia="宋体"/>
          <w:color w:val="auto"/>
          <w:sz w:val="28"/>
          <w:szCs w:val="28"/>
          <w:lang w:val="en-US" w:eastAsia="zh-CN"/>
        </w:rPr>
      </w:pPr>
    </w:p>
    <w:p>
      <w:pPr>
        <w:spacing w:line="500" w:lineRule="exact"/>
        <w:ind w:firstLine="3402" w:firstLineChars="1215"/>
        <w:jc w:val="left"/>
        <w:rPr>
          <w:rFonts w:ascii="宋体" w:hAnsi="宋体"/>
          <w:color w:val="auto"/>
          <w:sz w:val="28"/>
          <w:szCs w:val="28"/>
        </w:rPr>
      </w:pPr>
    </w:p>
    <w:p>
      <w:pPr>
        <w:spacing w:line="500" w:lineRule="exact"/>
        <w:ind w:firstLine="3402" w:firstLineChars="1215"/>
        <w:jc w:val="left"/>
        <w:rPr>
          <w:rFonts w:ascii="宋体" w:hAnsi="宋体"/>
          <w:color w:val="auto"/>
          <w:sz w:val="28"/>
          <w:szCs w:val="28"/>
        </w:rPr>
      </w:pPr>
    </w:p>
    <w:sectPr>
      <w:headerReference r:id="rId7" w:type="default"/>
      <w:footerReference r:id="rId8" w:type="default"/>
      <w:pgSz w:w="11906" w:h="16838"/>
      <w:pgMar w:top="1440" w:right="1800" w:bottom="1440" w:left="1800" w:header="851" w:footer="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F4,Bold">
    <w:altName w:val="方正舒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left" w:pos="4153"/>
        <w:tab w:val="clear" w:pos="8306"/>
      </w:tabs>
      <w:ind w:left="-1558" w:leftChars="-742"/>
    </w:pPr>
    <w:r>
      <w:pict>
        <v:shape id="_x0000_i1025" o:spt="75" alt="说明: 页脚" type="#_x0000_t75" style="height:74.25pt;width:614.7pt;" filled="f" o:preferrelative="t" stroked="f" coordsize="21600,21600">
          <v:path/>
          <v:fill on="f" focussize="0,0"/>
          <v:stroke on="f" joinstyle="miter"/>
          <v:imagedata r:id="rId1" o:title="页脚"/>
          <o:lock v:ext="edit" aspectratio="t"/>
          <w10:wrap type="none"/>
          <w10:anchorlock/>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left="-1262" w:leftChars="-60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tabs>
        <w:tab w:val="left" w:pos="4153"/>
        <w:tab w:val="clear" w:pos="8306"/>
      </w:tabs>
      <w:ind w:left="-1795" w:leftChars="-85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tabs>
        <w:tab w:val="center" w:pos="-1843"/>
        <w:tab w:val="clear" w:pos="4153"/>
      </w:tabs>
      <w:ind w:left="-1701" w:leftChars="-810"/>
      <w:jc w:val="both"/>
    </w:pPr>
    <w:r>
      <w:pict>
        <v:shape id="文本框 50" o:spid="_x0000_s2062" o:spt="202" type="#_x0000_t202" style="position:absolute;left:0pt;margin-left:284.65pt;margin-top:17.35pt;height:39.25pt;width:189.8pt;z-index:251670528;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">
          <v:path/>
          <v:fill on="f" focussize="0,0"/>
          <v:stroke on="f" joinstyle="miter"/>
          <v:imagedata o:title=""/>
          <o:lock v:ext="edit"/>
          <v:textbox>
            <w:txbxContent>
              <w:p>
                <w:pPr>
                  <w:autoSpaceDE w:val="0"/>
                  <w:autoSpaceDN w:val="0"/>
                  <w:adjustRightInd w:val="0"/>
                  <w:jc w:val="right"/>
                  <w:rPr>
                    <w:rFonts w:ascii="宋体" w:hAnsi="宋体"/>
                    <w:b/>
                    <w:szCs w:val="21"/>
                  </w:rPr>
                </w:pPr>
                <w:r>
                  <w:rPr>
                    <w:rFonts w:hint="eastAsia" w:ascii="宋体" w:hAnsi="宋体" w:cs="F4,Bold"/>
                    <w:b/>
                    <w:bCs/>
                    <w:szCs w:val="21"/>
                  </w:rPr>
                  <w:t>淮北矿业股份有限公司</w:t>
                </w:r>
              </w:p>
              <w:p>
                <w:pPr>
                  <w:autoSpaceDE w:val="0"/>
                  <w:autoSpaceDN w:val="0"/>
                  <w:adjustRightInd w:val="0"/>
                  <w:jc w:val="right"/>
                  <w:rPr>
                    <w:rFonts w:ascii="宋体" w:hAnsi="宋体"/>
                    <w:b/>
                    <w:szCs w:val="21"/>
                  </w:rPr>
                </w:pPr>
                <w:r>
                  <w:rPr>
                    <w:rFonts w:hint="eastAsia" w:ascii="宋体" w:hAnsi="宋体"/>
                    <w:b/>
                    <w:szCs w:val="21"/>
                  </w:rPr>
                  <w:t>铁运处铁路道口集控设备</w:t>
                </w:r>
                <w:r>
                  <w:rPr>
                    <w:rFonts w:hint="eastAsia" w:ascii="宋体" w:hAnsi="宋体" w:cs="F4,Bold"/>
                    <w:b/>
                    <w:bCs/>
                    <w:szCs w:val="21"/>
                  </w:rPr>
                  <w:t>--</w:t>
                </w:r>
                <w:r>
                  <w:rPr>
                    <w:rFonts w:hint="eastAsia" w:ascii="宋体" w:hAnsi="宋体"/>
                    <w:b/>
                    <w:szCs w:val="21"/>
                  </w:rPr>
                  <w:t>投标文件</w:t>
                </w:r>
              </w:p>
              <w:p>
                <w:pPr>
                  <w:snapToGrid w:val="0"/>
                  <w:jc w:val="center"/>
                  <w:rPr>
                    <w:rFonts w:ascii="宋体" w:hAnsi="宋体"/>
                    <w:b/>
                    <w:color w:val="FFFFFF"/>
                    <w:szCs w:val="21"/>
                  </w:rPr>
                </w:pPr>
              </w:p>
            </w:txbxContent>
          </v:textbox>
        </v:shape>
      </w:pict>
    </w:r>
    <w:r>
      <w:pict>
        <v:shape id="图片 10" o:spid="_x0000_s2063" o:spt="75" alt="说明: 页眉空白" type="#_x0000_t75" style="position:absolute;left:0pt;margin-left:-79.7pt;margin-top:0pt;height:64.55pt;width:619.15pt;z-index:-251644928;mso-width-relative:page;mso-height-relative:page;" filled="f" o:preferrelative="t" stroked="f" coordsize="21600,21600">
          <v:path/>
          <v:fill on="f" focussize="0,0"/>
          <v:stroke on="f" joinstyle="miter"/>
          <v:imagedata r:id="rId1" o:title="页眉空白"/>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ind w:left="-1795" w:leftChars="-85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FBB2CF"/>
    <w:multiLevelType w:val="singleLevel"/>
    <w:tmpl w:val="E7FBB2CF"/>
    <w:lvl w:ilvl="0" w:tentative="0">
      <w:start w:val="1"/>
      <w:numFmt w:val="decimal"/>
      <w:lvlText w:val="%1."/>
      <w:lvlJc w:val="left"/>
      <w:pPr>
        <w:ind w:left="425" w:hanging="425"/>
      </w:pPr>
      <w:rPr>
        <w:rFonts w:hint="default"/>
      </w:rPr>
    </w:lvl>
  </w:abstractNum>
  <w:abstractNum w:abstractNumId="1">
    <w:nsid w:val="05E97C22"/>
    <w:multiLevelType w:val="multilevel"/>
    <w:tmpl w:val="05E97C2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F966AB8"/>
    <w:multiLevelType w:val="multilevel"/>
    <w:tmpl w:val="1F966AB8"/>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435719A3"/>
    <w:multiLevelType w:val="multilevel"/>
    <w:tmpl w:val="435719A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4E3A565D"/>
    <w:multiLevelType w:val="multilevel"/>
    <w:tmpl w:val="4E3A565D"/>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E517388"/>
    <w:multiLevelType w:val="multilevel"/>
    <w:tmpl w:val="6E517388"/>
    <w:lvl w:ilvl="0" w:tentative="0">
      <w:start w:val="1"/>
      <w:numFmt w:val="bullet"/>
      <w:lvlText w:val=""/>
      <w:lvlJc w:val="left"/>
      <w:pPr>
        <w:ind w:left="1264" w:hanging="420"/>
      </w:pPr>
      <w:rPr>
        <w:rFonts w:hint="default" w:ascii="Wingdings" w:hAnsi="Wingdings"/>
      </w:rPr>
    </w:lvl>
    <w:lvl w:ilvl="1" w:tentative="0">
      <w:start w:val="1"/>
      <w:numFmt w:val="bullet"/>
      <w:lvlText w:val=""/>
      <w:lvlJc w:val="left"/>
      <w:pPr>
        <w:ind w:left="1684" w:hanging="420"/>
      </w:pPr>
      <w:rPr>
        <w:rFonts w:hint="default" w:ascii="Wingdings" w:hAnsi="Wingdings"/>
      </w:rPr>
    </w:lvl>
    <w:lvl w:ilvl="2" w:tentative="0">
      <w:start w:val="1"/>
      <w:numFmt w:val="bullet"/>
      <w:lvlText w:val=""/>
      <w:lvlJc w:val="left"/>
      <w:pPr>
        <w:ind w:left="2104" w:hanging="420"/>
      </w:pPr>
      <w:rPr>
        <w:rFonts w:hint="default" w:ascii="Wingdings" w:hAnsi="Wingdings"/>
      </w:rPr>
    </w:lvl>
    <w:lvl w:ilvl="3" w:tentative="0">
      <w:start w:val="1"/>
      <w:numFmt w:val="bullet"/>
      <w:lvlText w:val=""/>
      <w:lvlJc w:val="left"/>
      <w:pPr>
        <w:ind w:left="2524" w:hanging="420"/>
      </w:pPr>
      <w:rPr>
        <w:rFonts w:hint="default" w:ascii="Wingdings" w:hAnsi="Wingdings"/>
      </w:rPr>
    </w:lvl>
    <w:lvl w:ilvl="4" w:tentative="0">
      <w:start w:val="1"/>
      <w:numFmt w:val="bullet"/>
      <w:lvlText w:val=""/>
      <w:lvlJc w:val="left"/>
      <w:pPr>
        <w:ind w:left="2944" w:hanging="420"/>
      </w:pPr>
      <w:rPr>
        <w:rFonts w:hint="default" w:ascii="Wingdings" w:hAnsi="Wingdings"/>
      </w:rPr>
    </w:lvl>
    <w:lvl w:ilvl="5" w:tentative="0">
      <w:start w:val="1"/>
      <w:numFmt w:val="bullet"/>
      <w:lvlText w:val=""/>
      <w:lvlJc w:val="left"/>
      <w:pPr>
        <w:ind w:left="3364" w:hanging="420"/>
      </w:pPr>
      <w:rPr>
        <w:rFonts w:hint="default" w:ascii="Wingdings" w:hAnsi="Wingdings"/>
      </w:rPr>
    </w:lvl>
    <w:lvl w:ilvl="6" w:tentative="0">
      <w:start w:val="1"/>
      <w:numFmt w:val="bullet"/>
      <w:lvlText w:val=""/>
      <w:lvlJc w:val="left"/>
      <w:pPr>
        <w:ind w:left="3784" w:hanging="420"/>
      </w:pPr>
      <w:rPr>
        <w:rFonts w:hint="default" w:ascii="Wingdings" w:hAnsi="Wingdings"/>
      </w:rPr>
    </w:lvl>
    <w:lvl w:ilvl="7" w:tentative="0">
      <w:start w:val="1"/>
      <w:numFmt w:val="bullet"/>
      <w:lvlText w:val=""/>
      <w:lvlJc w:val="left"/>
      <w:pPr>
        <w:ind w:left="4204" w:hanging="420"/>
      </w:pPr>
      <w:rPr>
        <w:rFonts w:hint="default" w:ascii="Wingdings" w:hAnsi="Wingdings"/>
      </w:rPr>
    </w:lvl>
    <w:lvl w:ilvl="8" w:tentative="0">
      <w:start w:val="1"/>
      <w:numFmt w:val="bullet"/>
      <w:lvlText w:val=""/>
      <w:lvlJc w:val="left"/>
      <w:pPr>
        <w:ind w:left="4624" w:hanging="420"/>
      </w:pPr>
      <w:rPr>
        <w:rFonts w:hint="default" w:ascii="Wingdings" w:hAnsi="Wingdings"/>
      </w:rPr>
    </w:lvl>
  </w:abstractNum>
  <w:abstractNum w:abstractNumId="6">
    <w:nsid w:val="6F8392BF"/>
    <w:multiLevelType w:val="singleLevel"/>
    <w:tmpl w:val="6F8392BF"/>
    <w:lvl w:ilvl="0" w:tentative="0">
      <w:start w:val="1"/>
      <w:numFmt w:val="decimal"/>
      <w:lvlText w:val="%1."/>
      <w:lvlJc w:val="left"/>
      <w:pPr>
        <w:ind w:left="425" w:hanging="425"/>
      </w:pPr>
      <w:rPr>
        <w:rFonts w:hint="default"/>
      </w:rPr>
    </w:lvl>
  </w:abstractNum>
  <w:abstractNum w:abstractNumId="7">
    <w:nsid w:val="70BF1BB1"/>
    <w:multiLevelType w:val="multilevel"/>
    <w:tmpl w:val="70BF1BB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6"/>
  </w:num>
  <w:num w:numId="3">
    <w:abstractNumId w:val="1"/>
  </w:num>
  <w:num w:numId="4">
    <w:abstractNumId w:val="5"/>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171"/>
    <w:rsid w:val="000165CD"/>
    <w:rsid w:val="00024620"/>
    <w:rsid w:val="000529AC"/>
    <w:rsid w:val="00062C78"/>
    <w:rsid w:val="00085171"/>
    <w:rsid w:val="00094AC7"/>
    <w:rsid w:val="000C4757"/>
    <w:rsid w:val="000E661B"/>
    <w:rsid w:val="00163EA8"/>
    <w:rsid w:val="001652D3"/>
    <w:rsid w:val="0017525F"/>
    <w:rsid w:val="001A3786"/>
    <w:rsid w:val="001C61E9"/>
    <w:rsid w:val="001D081D"/>
    <w:rsid w:val="001D1109"/>
    <w:rsid w:val="00246D02"/>
    <w:rsid w:val="00252A2B"/>
    <w:rsid w:val="002600C8"/>
    <w:rsid w:val="002649CD"/>
    <w:rsid w:val="002C123D"/>
    <w:rsid w:val="002E136D"/>
    <w:rsid w:val="002E6307"/>
    <w:rsid w:val="0031796A"/>
    <w:rsid w:val="00324009"/>
    <w:rsid w:val="003332BC"/>
    <w:rsid w:val="00347CA2"/>
    <w:rsid w:val="003608EE"/>
    <w:rsid w:val="003855F7"/>
    <w:rsid w:val="00386505"/>
    <w:rsid w:val="003D14B0"/>
    <w:rsid w:val="003E66C0"/>
    <w:rsid w:val="003F09C2"/>
    <w:rsid w:val="0043658B"/>
    <w:rsid w:val="00460674"/>
    <w:rsid w:val="00462DD8"/>
    <w:rsid w:val="00465D92"/>
    <w:rsid w:val="00486657"/>
    <w:rsid w:val="00487058"/>
    <w:rsid w:val="004B0EB8"/>
    <w:rsid w:val="004E61CA"/>
    <w:rsid w:val="00503646"/>
    <w:rsid w:val="00516603"/>
    <w:rsid w:val="00554025"/>
    <w:rsid w:val="0057567A"/>
    <w:rsid w:val="005A345F"/>
    <w:rsid w:val="005B4E82"/>
    <w:rsid w:val="005B6A59"/>
    <w:rsid w:val="005D165E"/>
    <w:rsid w:val="00602C49"/>
    <w:rsid w:val="00602EFE"/>
    <w:rsid w:val="00623887"/>
    <w:rsid w:val="00627BAC"/>
    <w:rsid w:val="00627D81"/>
    <w:rsid w:val="00646B9B"/>
    <w:rsid w:val="006550F5"/>
    <w:rsid w:val="006658B4"/>
    <w:rsid w:val="006745B3"/>
    <w:rsid w:val="00684A51"/>
    <w:rsid w:val="006A635C"/>
    <w:rsid w:val="006B643A"/>
    <w:rsid w:val="006C4D9C"/>
    <w:rsid w:val="006C693D"/>
    <w:rsid w:val="006C75FB"/>
    <w:rsid w:val="006E78CD"/>
    <w:rsid w:val="006F0581"/>
    <w:rsid w:val="007852EC"/>
    <w:rsid w:val="007A509C"/>
    <w:rsid w:val="007B0B61"/>
    <w:rsid w:val="007C2296"/>
    <w:rsid w:val="007D32DC"/>
    <w:rsid w:val="007D5593"/>
    <w:rsid w:val="007D629F"/>
    <w:rsid w:val="007D6B27"/>
    <w:rsid w:val="008027B4"/>
    <w:rsid w:val="008110DB"/>
    <w:rsid w:val="0082288F"/>
    <w:rsid w:val="00841129"/>
    <w:rsid w:val="00855F45"/>
    <w:rsid w:val="0086655A"/>
    <w:rsid w:val="008B219B"/>
    <w:rsid w:val="009270E3"/>
    <w:rsid w:val="00931AB7"/>
    <w:rsid w:val="009969A2"/>
    <w:rsid w:val="009C1A41"/>
    <w:rsid w:val="009E7BE3"/>
    <w:rsid w:val="00A00D91"/>
    <w:rsid w:val="00A14FE3"/>
    <w:rsid w:val="00A27665"/>
    <w:rsid w:val="00A32662"/>
    <w:rsid w:val="00A67B58"/>
    <w:rsid w:val="00A93791"/>
    <w:rsid w:val="00AB1823"/>
    <w:rsid w:val="00AC20B0"/>
    <w:rsid w:val="00AF0E01"/>
    <w:rsid w:val="00B122B4"/>
    <w:rsid w:val="00B61FF7"/>
    <w:rsid w:val="00B801D4"/>
    <w:rsid w:val="00BA39C0"/>
    <w:rsid w:val="00BA582C"/>
    <w:rsid w:val="00C01FC6"/>
    <w:rsid w:val="00C452C2"/>
    <w:rsid w:val="00C5245A"/>
    <w:rsid w:val="00C74378"/>
    <w:rsid w:val="00C749AF"/>
    <w:rsid w:val="00C929E9"/>
    <w:rsid w:val="00D01B2B"/>
    <w:rsid w:val="00D10B74"/>
    <w:rsid w:val="00D240B0"/>
    <w:rsid w:val="00D46A55"/>
    <w:rsid w:val="00D5479A"/>
    <w:rsid w:val="00D558C5"/>
    <w:rsid w:val="00D56769"/>
    <w:rsid w:val="00D622DF"/>
    <w:rsid w:val="00D64107"/>
    <w:rsid w:val="00D766EF"/>
    <w:rsid w:val="00D86EF2"/>
    <w:rsid w:val="00D92B3C"/>
    <w:rsid w:val="00E25990"/>
    <w:rsid w:val="00E81D53"/>
    <w:rsid w:val="00E8202E"/>
    <w:rsid w:val="00E92B68"/>
    <w:rsid w:val="00EB4814"/>
    <w:rsid w:val="00EC1919"/>
    <w:rsid w:val="00EE2DFB"/>
    <w:rsid w:val="00F00B11"/>
    <w:rsid w:val="00F76C86"/>
    <w:rsid w:val="00F9508D"/>
    <w:rsid w:val="046E62B4"/>
    <w:rsid w:val="0AF34295"/>
    <w:rsid w:val="13987FC8"/>
    <w:rsid w:val="1933363A"/>
    <w:rsid w:val="302D1110"/>
    <w:rsid w:val="34BE15B2"/>
    <w:rsid w:val="36432470"/>
    <w:rsid w:val="36E30953"/>
    <w:rsid w:val="3B35303D"/>
    <w:rsid w:val="490D5976"/>
    <w:rsid w:val="4BE25274"/>
    <w:rsid w:val="5DEA2ACB"/>
    <w:rsid w:val="663B0BB6"/>
    <w:rsid w:val="675625C2"/>
    <w:rsid w:val="67AB545A"/>
    <w:rsid w:val="726D5821"/>
    <w:rsid w:val="7A031870"/>
    <w:rsid w:val="7EF90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color w:val="000000"/>
      <w:sz w:val="21"/>
      <w:szCs w:val="24"/>
      <w:lang w:val="en-US" w:eastAsia="zh-CN" w:bidi="ar-SA"/>
    </w:rPr>
  </w:style>
  <w:style w:type="paragraph" w:styleId="2">
    <w:name w:val="heading 1"/>
    <w:basedOn w:val="1"/>
    <w:next w:val="1"/>
    <w:link w:val="3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5"/>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0"/>
    <w:qFormat/>
    <w:uiPriority w:val="9"/>
    <w:pPr>
      <w:keepNext/>
      <w:keepLines/>
      <w:widowControl/>
      <w:spacing w:before="200" w:line="276" w:lineRule="auto"/>
      <w:jc w:val="left"/>
      <w:outlineLvl w:val="3"/>
    </w:pPr>
    <w:rPr>
      <w:rFonts w:ascii="Cambria" w:hAnsi="Cambria"/>
      <w:b/>
      <w:bCs/>
      <w:i/>
      <w:iCs/>
      <w:color w:val="2DA2BF"/>
      <w:sz w:val="22"/>
      <w:szCs w:val="22"/>
    </w:rPr>
  </w:style>
  <w:style w:type="paragraph" w:styleId="6">
    <w:name w:val="heading 5"/>
    <w:basedOn w:val="1"/>
    <w:next w:val="1"/>
    <w:link w:val="21"/>
    <w:qFormat/>
    <w:uiPriority w:val="9"/>
    <w:pPr>
      <w:keepNext/>
      <w:keepLines/>
      <w:widowControl/>
      <w:spacing w:before="200" w:line="276" w:lineRule="auto"/>
      <w:jc w:val="left"/>
      <w:outlineLvl w:val="4"/>
    </w:pPr>
    <w:rPr>
      <w:rFonts w:ascii="Cambria" w:hAnsi="Cambria"/>
      <w:color w:val="16505E"/>
      <w:sz w:val="22"/>
      <w:szCs w:val="22"/>
    </w:rPr>
  </w:style>
  <w:style w:type="paragraph" w:styleId="7">
    <w:name w:val="heading 6"/>
    <w:basedOn w:val="1"/>
    <w:next w:val="1"/>
    <w:link w:val="22"/>
    <w:qFormat/>
    <w:uiPriority w:val="9"/>
    <w:pPr>
      <w:keepNext/>
      <w:keepLines/>
      <w:widowControl/>
      <w:spacing w:before="200" w:line="276" w:lineRule="auto"/>
      <w:jc w:val="left"/>
      <w:outlineLvl w:val="5"/>
    </w:pPr>
    <w:rPr>
      <w:rFonts w:ascii="Cambria" w:hAnsi="Cambria"/>
      <w:i/>
      <w:iCs/>
      <w:color w:val="16505E"/>
      <w:sz w:val="22"/>
      <w:szCs w:val="2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24"/>
    <w:qFormat/>
    <w:uiPriority w:val="0"/>
    <w:pPr>
      <w:widowControl/>
      <w:spacing w:after="200" w:line="276" w:lineRule="auto"/>
      <w:jc w:val="left"/>
    </w:pPr>
    <w:rPr>
      <w:rFonts w:asciiTheme="minorHAnsi" w:hAnsiTheme="minorHAnsi" w:eastAsiaTheme="minorEastAsia" w:cstheme="minorBidi"/>
      <w:color w:val="auto"/>
      <w:kern w:val="2"/>
    </w:rPr>
  </w:style>
  <w:style w:type="paragraph" w:styleId="9">
    <w:name w:val="toc 3"/>
    <w:basedOn w:val="1"/>
    <w:next w:val="1"/>
    <w:unhideWhenUsed/>
    <w:qFormat/>
    <w:uiPriority w:val="39"/>
    <w:pPr>
      <w:ind w:left="840" w:leftChars="400"/>
    </w:pPr>
  </w:style>
  <w:style w:type="paragraph" w:styleId="10">
    <w:name w:val="Balloon Text"/>
    <w:basedOn w:val="1"/>
    <w:link w:val="29"/>
    <w:semiHidden/>
    <w:unhideWhenUsed/>
    <w:qFormat/>
    <w:uiPriority w:val="99"/>
    <w:rPr>
      <w:sz w:val="18"/>
      <w:szCs w:val="18"/>
    </w:rPr>
  </w:style>
  <w:style w:type="paragraph" w:styleId="11">
    <w:name w:val="footer"/>
    <w:basedOn w:val="1"/>
    <w:link w:val="23"/>
    <w:qFormat/>
    <w:uiPriority w:val="99"/>
    <w:pPr>
      <w:widowControl/>
      <w:tabs>
        <w:tab w:val="center" w:pos="4153"/>
        <w:tab w:val="right" w:pos="8306"/>
      </w:tabs>
      <w:snapToGrid w:val="0"/>
      <w:spacing w:after="200" w:line="276" w:lineRule="auto"/>
      <w:jc w:val="left"/>
    </w:pPr>
    <w:rPr>
      <w:rFonts w:asciiTheme="minorHAnsi" w:hAnsiTheme="minorHAnsi" w:eastAsiaTheme="minorEastAsia" w:cstheme="minorBidi"/>
      <w:color w:val="auto"/>
      <w:kern w:val="2"/>
      <w:sz w:val="18"/>
      <w:szCs w:val="18"/>
    </w:rPr>
  </w:style>
  <w:style w:type="paragraph" w:styleId="12">
    <w:name w:val="header"/>
    <w:basedOn w:val="1"/>
    <w:link w:val="25"/>
    <w:qFormat/>
    <w:uiPriority w:val="99"/>
    <w:pPr>
      <w:widowControl/>
      <w:pBdr>
        <w:bottom w:val="single" w:color="auto" w:sz="6" w:space="1"/>
      </w:pBdr>
      <w:tabs>
        <w:tab w:val="center" w:pos="4153"/>
        <w:tab w:val="right" w:pos="8306"/>
      </w:tabs>
      <w:snapToGrid w:val="0"/>
      <w:spacing w:after="200" w:line="276" w:lineRule="auto"/>
      <w:jc w:val="center"/>
    </w:pPr>
    <w:rPr>
      <w:rFonts w:ascii="Calibri" w:hAnsi="Calibri"/>
      <w:color w:val="auto"/>
      <w:sz w:val="18"/>
      <w:szCs w:val="18"/>
    </w:rPr>
  </w:style>
  <w:style w:type="paragraph" w:styleId="13">
    <w:name w:val="toc 1"/>
    <w:basedOn w:val="1"/>
    <w:next w:val="1"/>
    <w:unhideWhenUsed/>
    <w:qFormat/>
    <w:uiPriority w:val="39"/>
  </w:style>
  <w:style w:type="paragraph" w:styleId="14">
    <w:name w:val="toc 2"/>
    <w:basedOn w:val="1"/>
    <w:next w:val="1"/>
    <w:unhideWhenUsed/>
    <w:qFormat/>
    <w:uiPriority w:val="39"/>
    <w:pPr>
      <w:ind w:left="420" w:leftChars="200"/>
    </w:pPr>
  </w:style>
  <w:style w:type="paragraph" w:styleId="15">
    <w:name w:val="Normal (Web)"/>
    <w:basedOn w:val="1"/>
    <w:link w:val="36"/>
    <w:qFormat/>
    <w:uiPriority w:val="99"/>
    <w:pPr>
      <w:widowControl/>
      <w:spacing w:before="100" w:beforeAutospacing="1" w:after="100" w:afterAutospacing="1"/>
      <w:jc w:val="left"/>
    </w:pPr>
    <w:rPr>
      <w:rFonts w:ascii="宋体" w:hAnsi="宋体" w:cs="宋体"/>
      <w:sz w:val="24"/>
    </w:rPr>
  </w:style>
  <w:style w:type="character" w:styleId="18">
    <w:name w:val="page number"/>
    <w:basedOn w:val="17"/>
    <w:qFormat/>
    <w:uiPriority w:val="99"/>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标题 4 Char"/>
    <w:basedOn w:val="17"/>
    <w:link w:val="5"/>
    <w:qFormat/>
    <w:uiPriority w:val="9"/>
    <w:rPr>
      <w:rFonts w:ascii="Cambria" w:hAnsi="Cambria" w:eastAsia="宋体" w:cs="Times New Roman"/>
      <w:b/>
      <w:bCs/>
      <w:i/>
      <w:iCs/>
      <w:color w:val="2DA2BF"/>
      <w:kern w:val="0"/>
      <w:sz w:val="22"/>
    </w:rPr>
  </w:style>
  <w:style w:type="character" w:customStyle="1" w:styleId="21">
    <w:name w:val="标题 5 Char"/>
    <w:basedOn w:val="17"/>
    <w:link w:val="6"/>
    <w:qFormat/>
    <w:uiPriority w:val="9"/>
    <w:rPr>
      <w:rFonts w:ascii="Cambria" w:hAnsi="Cambria" w:eastAsia="宋体" w:cs="Times New Roman"/>
      <w:color w:val="16505E"/>
      <w:kern w:val="0"/>
      <w:sz w:val="22"/>
    </w:rPr>
  </w:style>
  <w:style w:type="character" w:customStyle="1" w:styleId="22">
    <w:name w:val="标题 6 Char"/>
    <w:basedOn w:val="17"/>
    <w:link w:val="7"/>
    <w:qFormat/>
    <w:uiPriority w:val="9"/>
    <w:rPr>
      <w:rFonts w:ascii="Cambria" w:hAnsi="Cambria" w:eastAsia="宋体" w:cs="Times New Roman"/>
      <w:i/>
      <w:iCs/>
      <w:color w:val="16505E"/>
      <w:kern w:val="0"/>
      <w:sz w:val="22"/>
    </w:rPr>
  </w:style>
  <w:style w:type="character" w:customStyle="1" w:styleId="23">
    <w:name w:val="页脚 Char"/>
    <w:link w:val="11"/>
    <w:qFormat/>
    <w:uiPriority w:val="99"/>
    <w:rPr>
      <w:sz w:val="18"/>
      <w:szCs w:val="18"/>
    </w:rPr>
  </w:style>
  <w:style w:type="character" w:customStyle="1" w:styleId="24">
    <w:name w:val="批注文字 Char"/>
    <w:link w:val="8"/>
    <w:qFormat/>
    <w:uiPriority w:val="0"/>
    <w:rPr>
      <w:szCs w:val="24"/>
    </w:rPr>
  </w:style>
  <w:style w:type="character" w:customStyle="1" w:styleId="25">
    <w:name w:val="页眉 Char"/>
    <w:basedOn w:val="17"/>
    <w:link w:val="12"/>
    <w:qFormat/>
    <w:uiPriority w:val="99"/>
    <w:rPr>
      <w:rFonts w:ascii="Calibri" w:hAnsi="Calibri" w:eastAsia="宋体" w:cs="Times New Roman"/>
      <w:kern w:val="0"/>
      <w:sz w:val="18"/>
      <w:szCs w:val="18"/>
    </w:rPr>
  </w:style>
  <w:style w:type="character" w:customStyle="1" w:styleId="26">
    <w:name w:val="批注文字 Char1"/>
    <w:basedOn w:val="17"/>
    <w:semiHidden/>
    <w:qFormat/>
    <w:uiPriority w:val="99"/>
    <w:rPr>
      <w:rFonts w:ascii="Times New Roman" w:hAnsi="Times New Roman" w:eastAsia="宋体" w:cs="Times New Roman"/>
      <w:color w:val="000000"/>
      <w:kern w:val="0"/>
      <w:szCs w:val="24"/>
    </w:rPr>
  </w:style>
  <w:style w:type="character" w:customStyle="1" w:styleId="27">
    <w:name w:val="页脚 Char1"/>
    <w:basedOn w:val="17"/>
    <w:semiHidden/>
    <w:qFormat/>
    <w:uiPriority w:val="99"/>
    <w:rPr>
      <w:rFonts w:ascii="Times New Roman" w:hAnsi="Times New Roman" w:eastAsia="宋体" w:cs="Times New Roman"/>
      <w:color w:val="000000"/>
      <w:kern w:val="0"/>
      <w:sz w:val="18"/>
      <w:szCs w:val="18"/>
    </w:rPr>
  </w:style>
  <w:style w:type="paragraph" w:customStyle="1" w:styleId="28">
    <w:name w:val="_Style 1"/>
    <w:basedOn w:val="1"/>
    <w:qFormat/>
    <w:uiPriority w:val="34"/>
    <w:pPr>
      <w:widowControl/>
      <w:spacing w:after="200" w:line="276" w:lineRule="auto"/>
      <w:ind w:firstLine="420" w:firstLineChars="200"/>
      <w:jc w:val="left"/>
    </w:pPr>
    <w:rPr>
      <w:rFonts w:ascii="Calibri" w:hAnsi="Calibri"/>
      <w:color w:val="auto"/>
      <w:sz w:val="22"/>
      <w:szCs w:val="22"/>
    </w:rPr>
  </w:style>
  <w:style w:type="character" w:customStyle="1" w:styleId="29">
    <w:name w:val="批注框文本 Char"/>
    <w:basedOn w:val="17"/>
    <w:link w:val="10"/>
    <w:semiHidden/>
    <w:qFormat/>
    <w:uiPriority w:val="99"/>
    <w:rPr>
      <w:rFonts w:ascii="Times New Roman" w:hAnsi="Times New Roman" w:eastAsia="宋体" w:cs="Times New Roman"/>
      <w:color w:val="000000"/>
      <w:kern w:val="0"/>
      <w:sz w:val="18"/>
      <w:szCs w:val="18"/>
    </w:rPr>
  </w:style>
  <w:style w:type="paragraph" w:styleId="30">
    <w:name w:val="List Paragraph"/>
    <w:basedOn w:val="1"/>
    <w:link w:val="32"/>
    <w:qFormat/>
    <w:uiPriority w:val="34"/>
    <w:pPr>
      <w:ind w:firstLine="420" w:firstLineChars="200"/>
    </w:pPr>
  </w:style>
  <w:style w:type="character" w:customStyle="1" w:styleId="31">
    <w:name w:val="标题 2 Char"/>
    <w:basedOn w:val="17"/>
    <w:link w:val="3"/>
    <w:qFormat/>
    <w:uiPriority w:val="9"/>
    <w:rPr>
      <w:rFonts w:asciiTheme="majorHAnsi" w:hAnsiTheme="majorHAnsi" w:eastAsiaTheme="majorEastAsia" w:cstheme="majorBidi"/>
      <w:b/>
      <w:bCs/>
      <w:color w:val="000000"/>
      <w:kern w:val="0"/>
      <w:sz w:val="32"/>
      <w:szCs w:val="32"/>
    </w:rPr>
  </w:style>
  <w:style w:type="character" w:customStyle="1" w:styleId="32">
    <w:name w:val="列出段落 Char"/>
    <w:basedOn w:val="17"/>
    <w:link w:val="30"/>
    <w:qFormat/>
    <w:uiPriority w:val="34"/>
    <w:rPr>
      <w:rFonts w:ascii="Times New Roman" w:hAnsi="Times New Roman" w:eastAsia="宋体" w:cs="Times New Roman"/>
      <w:color w:val="000000"/>
      <w:kern w:val="0"/>
      <w:szCs w:val="24"/>
    </w:rPr>
  </w:style>
  <w:style w:type="character" w:customStyle="1" w:styleId="33">
    <w:name w:val="标题 1 Char"/>
    <w:basedOn w:val="17"/>
    <w:link w:val="2"/>
    <w:qFormat/>
    <w:uiPriority w:val="9"/>
    <w:rPr>
      <w:rFonts w:ascii="Times New Roman" w:hAnsi="Times New Roman" w:eastAsia="宋体" w:cs="Times New Roman"/>
      <w:b/>
      <w:bCs/>
      <w:color w:val="000000"/>
      <w:kern w:val="44"/>
      <w:sz w:val="44"/>
      <w:szCs w:val="44"/>
    </w:rPr>
  </w:style>
  <w:style w:type="paragraph" w:customStyle="1" w:styleId="34">
    <w:name w:val="列出段落1"/>
    <w:basedOn w:val="1"/>
    <w:qFormat/>
    <w:uiPriority w:val="99"/>
    <w:pPr>
      <w:spacing w:line="276" w:lineRule="auto"/>
      <w:ind w:firstLine="420" w:firstLineChars="200"/>
    </w:pPr>
    <w:rPr>
      <w:rFonts w:ascii="宋体" w:hAnsi="宋体" w:cs="黑体"/>
      <w:color w:val="auto"/>
      <w:kern w:val="2"/>
      <w:szCs w:val="22"/>
    </w:rPr>
  </w:style>
  <w:style w:type="character" w:customStyle="1" w:styleId="35">
    <w:name w:val="标题 3 Char"/>
    <w:basedOn w:val="17"/>
    <w:link w:val="4"/>
    <w:qFormat/>
    <w:uiPriority w:val="9"/>
    <w:rPr>
      <w:rFonts w:ascii="Times New Roman" w:hAnsi="Times New Roman" w:eastAsia="宋体" w:cs="Times New Roman"/>
      <w:b/>
      <w:bCs/>
      <w:color w:val="000000"/>
      <w:kern w:val="0"/>
      <w:sz w:val="32"/>
      <w:szCs w:val="32"/>
    </w:rPr>
  </w:style>
  <w:style w:type="character" w:customStyle="1" w:styleId="36">
    <w:name w:val="普通(网站) Char"/>
    <w:link w:val="15"/>
    <w:qFormat/>
    <w:uiPriority w:val="99"/>
    <w:rPr>
      <w:rFonts w:ascii="宋体" w:hAnsi="宋体" w:eastAsia="宋体" w:cs="宋体"/>
      <w:color w:val="000000"/>
      <w:kern w:val="0"/>
      <w:sz w:val="24"/>
      <w:szCs w:val="24"/>
    </w:rPr>
  </w:style>
  <w:style w:type="paragraph" w:customStyle="1" w:styleId="37">
    <w:name w:val="标题1加宋体三号字"/>
    <w:basedOn w:val="2"/>
    <w:qFormat/>
    <w:uiPriority w:val="0"/>
    <w:pPr>
      <w:widowControl/>
      <w:spacing w:line="276" w:lineRule="auto"/>
      <w:ind w:left="425" w:hanging="425"/>
    </w:pPr>
    <w:rPr>
      <w:color w:val="auto"/>
      <w:sz w:val="32"/>
      <w:szCs w:val="32"/>
      <w:lang w:val="en-GB"/>
    </w:rPr>
  </w:style>
  <w:style w:type="paragraph" w:customStyle="1" w:styleId="38">
    <w:name w:val="Table Paragraph"/>
    <w:basedOn w:val="1"/>
    <w:qFormat/>
    <w:uiPriority w:val="1"/>
    <w:pPr>
      <w:jc w:val="left"/>
    </w:pPr>
    <w:rPr>
      <w:rFonts w:ascii="宋体" w:hAnsi="宋体" w:cs="宋体"/>
      <w:color w:val="auto"/>
      <w:sz w:val="22"/>
      <w:szCs w:val="22"/>
      <w:lang w:eastAsia="en-US"/>
    </w:rPr>
  </w:style>
  <w:style w:type="paragraph" w:customStyle="1" w:styleId="39">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62"/>
    <customShpInfo spid="_x0000_s2063"/>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F98CA3-B4F3-47A0-A43F-632510DEADB4}">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983</Words>
  <Characters>5604</Characters>
  <Lines>46</Lines>
  <Paragraphs>13</Paragraphs>
  <TotalTime>1</TotalTime>
  <ScaleCrop>false</ScaleCrop>
  <LinksUpToDate>false</LinksUpToDate>
  <CharactersWithSpaces>6574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2021-01-27T09:03:00Z</dcterms:created>
  <dc:creator>Sky123.Org</dc:creator>
  <cp:lastModifiedBy>SXJ</cp:lastModifiedBy>
  <cp:lastPrinted>2019-09-04T06:57:00Z</cp:lastPrinted>
  <dcterms:modified xsi:type="dcterms:W3CDTF">2021-03-03T01:54:28Z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