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B8C06E">
      <w:pPr>
        <w:pStyle w:val="4"/>
        <w:rPr>
          <w:sz w:val="44"/>
          <w:szCs w:val="44"/>
        </w:rPr>
      </w:pPr>
    </w:p>
    <w:p w14:paraId="529CADDC">
      <w:pPr>
        <w:pStyle w:val="4"/>
        <w:rPr>
          <w:sz w:val="44"/>
          <w:szCs w:val="44"/>
        </w:rPr>
      </w:pPr>
      <w:bookmarkStart w:id="0" w:name="_GoBack"/>
      <w:bookmarkEnd w:id="0"/>
    </w:p>
    <w:p w14:paraId="0A928C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sz w:val="36"/>
          <w:szCs w:val="36"/>
        </w:rPr>
      </w:pPr>
      <w:r>
        <w:rPr>
          <w:rFonts w:hint="eastAsia" w:ascii="宋体" w:hAnsi="宋体"/>
          <w:b/>
          <w:sz w:val="36"/>
          <w:szCs w:val="36"/>
        </w:rPr>
        <w:t>淮北矿业股份有限公司</w:t>
      </w:r>
      <w:r>
        <w:rPr>
          <w:rFonts w:hint="eastAsia" w:ascii="宋体" w:hAnsi="宋体"/>
          <w:b/>
          <w:sz w:val="36"/>
          <w:szCs w:val="36"/>
          <w:lang w:val="en-US" w:eastAsia="zh-CN"/>
        </w:rPr>
        <w:t>袁店一井</w:t>
      </w:r>
      <w:r>
        <w:rPr>
          <w:rFonts w:hint="eastAsia" w:ascii="宋体" w:hAnsi="宋体"/>
          <w:b/>
          <w:sz w:val="36"/>
          <w:szCs w:val="36"/>
        </w:rPr>
        <w:t>煤矿</w:t>
      </w:r>
      <w:r>
        <w:rPr>
          <w:rFonts w:hint="eastAsia" w:ascii="宋体" w:hAnsi="宋体"/>
          <w:b/>
          <w:sz w:val="36"/>
          <w:szCs w:val="36"/>
          <w:lang w:val="en-US" w:eastAsia="zh-CN"/>
        </w:rPr>
        <w:t>2026</w:t>
      </w:r>
      <w:r>
        <w:rPr>
          <w:rFonts w:hint="eastAsia" w:ascii="宋体" w:hAnsi="宋体"/>
          <w:b/>
          <w:sz w:val="36"/>
          <w:szCs w:val="36"/>
        </w:rPr>
        <w:t>年</w:t>
      </w:r>
    </w:p>
    <w:p w14:paraId="380B7E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sz w:val="36"/>
          <w:szCs w:val="36"/>
        </w:rPr>
      </w:pPr>
      <w:r>
        <w:rPr>
          <w:rFonts w:hint="eastAsia" w:ascii="宋体" w:hAnsi="宋体"/>
          <w:b/>
          <w:sz w:val="36"/>
          <w:szCs w:val="36"/>
          <w:lang w:val="en-US" w:eastAsia="zh-CN"/>
        </w:rPr>
        <w:t>离心式泥浆泵</w:t>
      </w:r>
      <w:r>
        <w:rPr>
          <w:rFonts w:hint="eastAsia" w:ascii="宋体" w:hAnsi="宋体"/>
          <w:b/>
          <w:sz w:val="36"/>
          <w:szCs w:val="36"/>
        </w:rPr>
        <w:t>采购技术规格书</w:t>
      </w:r>
    </w:p>
    <w:p w14:paraId="5C95D219">
      <w:pPr>
        <w:spacing w:line="560" w:lineRule="exact"/>
        <w:jc w:val="center"/>
        <w:rPr>
          <w:rFonts w:ascii="宋体" w:hAnsi="宋体"/>
          <w:b/>
          <w:sz w:val="36"/>
          <w:szCs w:val="36"/>
        </w:rPr>
      </w:pPr>
    </w:p>
    <w:p w14:paraId="42C38CB4">
      <w:pPr>
        <w:pStyle w:val="4"/>
      </w:pPr>
    </w:p>
    <w:p w14:paraId="5BFA667F">
      <w:pPr>
        <w:pStyle w:val="4"/>
      </w:pPr>
    </w:p>
    <w:p w14:paraId="7DCF6F81">
      <w:pPr>
        <w:pStyle w:val="4"/>
      </w:pPr>
    </w:p>
    <w:p w14:paraId="05BF9FAE">
      <w:pPr>
        <w:pStyle w:val="4"/>
      </w:pPr>
    </w:p>
    <w:p w14:paraId="5AAE6EFE">
      <w:pPr>
        <w:pStyle w:val="4"/>
      </w:pPr>
    </w:p>
    <w:p w14:paraId="0AE022CB">
      <w:pPr>
        <w:pStyle w:val="4"/>
      </w:pPr>
    </w:p>
    <w:p w14:paraId="11D354AF">
      <w:pPr>
        <w:pStyle w:val="4"/>
      </w:pPr>
    </w:p>
    <w:p w14:paraId="2AA720EC">
      <w:pPr>
        <w:pStyle w:val="4"/>
        <w:spacing w:line="560" w:lineRule="atLeast"/>
        <w:rPr>
          <w:sz w:val="44"/>
          <w:szCs w:val="44"/>
        </w:rPr>
      </w:pPr>
    </w:p>
    <w:p w14:paraId="508D5D7E">
      <w:pPr>
        <w:spacing w:line="560" w:lineRule="atLeast"/>
        <w:rPr>
          <w:sz w:val="44"/>
          <w:szCs w:val="44"/>
        </w:rPr>
      </w:pPr>
    </w:p>
    <w:p w14:paraId="6A1D99AB">
      <w:pPr>
        <w:spacing w:line="560" w:lineRule="atLeast"/>
        <w:rPr>
          <w:sz w:val="44"/>
          <w:szCs w:val="44"/>
        </w:rPr>
      </w:pPr>
    </w:p>
    <w:p w14:paraId="5847D84E">
      <w:pPr>
        <w:spacing w:line="560" w:lineRule="atLeast"/>
        <w:rPr>
          <w:b/>
          <w:bCs/>
          <w:sz w:val="44"/>
          <w:szCs w:val="44"/>
        </w:rPr>
      </w:pPr>
    </w:p>
    <w:p w14:paraId="72546ABD">
      <w:pPr>
        <w:spacing w:line="560" w:lineRule="atLeast"/>
        <w:ind w:firstLine="2570" w:firstLineChars="800"/>
        <w:rPr>
          <w:b/>
          <w:bCs/>
          <w:sz w:val="32"/>
          <w:szCs w:val="32"/>
          <w:u w:val="single"/>
        </w:rPr>
      </w:pPr>
      <w:r>
        <w:rPr>
          <w:rFonts w:hint="eastAsia"/>
          <w:b/>
          <w:bCs/>
          <w:sz w:val="32"/>
          <w:szCs w:val="32"/>
        </w:rPr>
        <w:t>编制：</w:t>
      </w:r>
      <w:r>
        <w:rPr>
          <w:rFonts w:hint="eastAsia"/>
          <w:b/>
          <w:bCs/>
          <w:sz w:val="32"/>
          <w:szCs w:val="32"/>
          <w:u w:val="single"/>
        </w:rPr>
        <w:t xml:space="preserve">             </w:t>
      </w:r>
    </w:p>
    <w:p w14:paraId="63A81F68">
      <w:pPr>
        <w:spacing w:line="560" w:lineRule="atLeast"/>
        <w:ind w:firstLine="2570" w:firstLineChars="800"/>
        <w:rPr>
          <w:b/>
          <w:bCs/>
          <w:sz w:val="32"/>
          <w:szCs w:val="32"/>
          <w:u w:val="single"/>
        </w:rPr>
      </w:pPr>
      <w:r>
        <w:rPr>
          <w:rFonts w:hint="eastAsia"/>
          <w:b/>
          <w:bCs/>
          <w:sz w:val="32"/>
          <w:szCs w:val="32"/>
        </w:rPr>
        <w:t>审核：</w:t>
      </w:r>
      <w:r>
        <w:rPr>
          <w:rFonts w:hint="eastAsia"/>
          <w:b/>
          <w:bCs/>
          <w:sz w:val="32"/>
          <w:szCs w:val="32"/>
          <w:u w:val="single"/>
        </w:rPr>
        <w:t xml:space="preserve">             </w:t>
      </w:r>
    </w:p>
    <w:p w14:paraId="5E70431B">
      <w:pPr>
        <w:spacing w:line="560" w:lineRule="atLeast"/>
        <w:ind w:firstLine="2570" w:firstLineChars="800"/>
        <w:rPr>
          <w:rFonts w:hint="eastAsia"/>
          <w:b/>
          <w:bCs/>
          <w:sz w:val="32"/>
          <w:szCs w:val="32"/>
        </w:rPr>
      </w:pPr>
      <w:r>
        <w:rPr>
          <w:rFonts w:hint="eastAsia"/>
          <w:b/>
          <w:bCs/>
          <w:sz w:val="32"/>
          <w:szCs w:val="32"/>
        </w:rPr>
        <w:t>批准：</w:t>
      </w:r>
      <w:r>
        <w:rPr>
          <w:rFonts w:hint="eastAsia"/>
          <w:b/>
          <w:bCs/>
          <w:sz w:val="32"/>
          <w:szCs w:val="32"/>
          <w:u w:val="single"/>
        </w:rPr>
        <w:t xml:space="preserve">             </w:t>
      </w:r>
    </w:p>
    <w:p w14:paraId="534679BA">
      <w:pPr>
        <w:spacing w:line="560" w:lineRule="atLeast"/>
        <w:ind w:firstLine="964" w:firstLineChars="300"/>
        <w:rPr>
          <w:b/>
          <w:bCs/>
          <w:sz w:val="32"/>
          <w:szCs w:val="32"/>
        </w:rPr>
      </w:pPr>
      <w:r>
        <w:rPr>
          <w:rFonts w:hint="eastAsia"/>
          <w:b/>
          <w:bCs/>
          <w:sz w:val="32"/>
          <w:szCs w:val="32"/>
        </w:rPr>
        <w:t xml:space="preserve">  </w:t>
      </w:r>
    </w:p>
    <w:p w14:paraId="3964A819">
      <w:pPr>
        <w:spacing w:line="560" w:lineRule="atLeast"/>
        <w:rPr>
          <w:rFonts w:hint="eastAsia"/>
          <w:b/>
          <w:bCs/>
          <w:sz w:val="32"/>
          <w:szCs w:val="32"/>
        </w:rPr>
      </w:pPr>
    </w:p>
    <w:p w14:paraId="49F6ADA4">
      <w:pPr>
        <w:spacing w:line="560" w:lineRule="atLeast"/>
        <w:ind w:firstLine="2570" w:firstLineChars="800"/>
        <w:rPr>
          <w:rFonts w:hint="eastAsia"/>
          <w:b/>
          <w:bCs/>
          <w:sz w:val="32"/>
          <w:szCs w:val="32"/>
        </w:rPr>
      </w:pPr>
    </w:p>
    <w:p w14:paraId="02C948F3">
      <w:pPr>
        <w:spacing w:line="560" w:lineRule="atLeast"/>
        <w:ind w:firstLine="1928" w:firstLineChars="600"/>
        <w:rPr>
          <w:rFonts w:hint="eastAsia"/>
          <w:b/>
          <w:bCs/>
          <w:sz w:val="32"/>
          <w:szCs w:val="32"/>
          <w:u w:val="single"/>
        </w:rPr>
      </w:pPr>
      <w:r>
        <w:rPr>
          <w:rFonts w:hint="eastAsia"/>
          <w:b/>
          <w:bCs/>
          <w:sz w:val="32"/>
          <w:szCs w:val="32"/>
        </w:rPr>
        <w:t>单位：</w:t>
      </w:r>
      <w:r>
        <w:rPr>
          <w:rFonts w:hint="eastAsia"/>
          <w:b/>
          <w:bCs/>
          <w:sz w:val="32"/>
          <w:szCs w:val="32"/>
          <w:u w:val="single"/>
        </w:rPr>
        <w:t xml:space="preserve">                 </w:t>
      </w:r>
    </w:p>
    <w:p w14:paraId="033DF5F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sz w:val="36"/>
          <w:szCs w:val="36"/>
        </w:rPr>
      </w:pPr>
      <w:r>
        <w:rPr>
          <w:rFonts w:ascii="宋体" w:hAnsi="宋体" w:cs="宋体"/>
          <w:b/>
          <w:bCs/>
          <w:color w:val="FF0000"/>
          <w:sz w:val="36"/>
          <w:szCs w:val="36"/>
        </w:rPr>
        <w:br w:type="page"/>
      </w:r>
      <w:r>
        <w:rPr>
          <w:rFonts w:hint="eastAsia" w:ascii="宋体" w:hAnsi="宋体"/>
          <w:b/>
          <w:sz w:val="36"/>
          <w:szCs w:val="36"/>
        </w:rPr>
        <w:t>淮北矿业股份有限公司</w:t>
      </w:r>
      <w:r>
        <w:rPr>
          <w:rFonts w:hint="eastAsia" w:ascii="宋体" w:hAnsi="宋体"/>
          <w:b/>
          <w:sz w:val="36"/>
          <w:szCs w:val="36"/>
          <w:lang w:val="en-US" w:eastAsia="zh-CN"/>
        </w:rPr>
        <w:t>袁店一井</w:t>
      </w:r>
      <w:r>
        <w:rPr>
          <w:rFonts w:hint="eastAsia" w:ascii="宋体" w:hAnsi="宋体"/>
          <w:b/>
          <w:sz w:val="36"/>
          <w:szCs w:val="36"/>
        </w:rPr>
        <w:t>煤矿</w:t>
      </w:r>
      <w:r>
        <w:rPr>
          <w:rFonts w:hint="eastAsia" w:ascii="宋体" w:hAnsi="宋体"/>
          <w:b/>
          <w:sz w:val="36"/>
          <w:szCs w:val="36"/>
          <w:lang w:val="en-US" w:eastAsia="zh-CN"/>
        </w:rPr>
        <w:t>2026</w:t>
      </w:r>
      <w:r>
        <w:rPr>
          <w:rFonts w:hint="eastAsia" w:ascii="宋体" w:hAnsi="宋体"/>
          <w:b/>
          <w:sz w:val="36"/>
          <w:szCs w:val="36"/>
        </w:rPr>
        <w:t>年</w:t>
      </w:r>
    </w:p>
    <w:p w14:paraId="420585A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sz w:val="36"/>
          <w:szCs w:val="36"/>
        </w:rPr>
      </w:pPr>
      <w:r>
        <w:rPr>
          <w:rFonts w:hint="eastAsia" w:ascii="宋体" w:hAnsi="宋体"/>
          <w:b/>
          <w:sz w:val="36"/>
          <w:szCs w:val="36"/>
          <w:lang w:val="en-US" w:eastAsia="zh-CN"/>
        </w:rPr>
        <w:t>离心式泥浆泵</w:t>
      </w:r>
      <w:r>
        <w:rPr>
          <w:rFonts w:hint="eastAsia" w:ascii="宋体" w:hAnsi="宋体"/>
          <w:b/>
          <w:sz w:val="36"/>
          <w:szCs w:val="36"/>
        </w:rPr>
        <w:t>采购技术规格书</w:t>
      </w:r>
    </w:p>
    <w:p w14:paraId="3967306A">
      <w:pPr>
        <w:pStyle w:val="4"/>
        <w:spacing w:line="560" w:lineRule="exact"/>
        <w:ind w:right="210" w:rightChars="100" w:firstLine="736" w:firstLineChars="230"/>
        <w:jc w:val="both"/>
        <w:rPr>
          <w:rFonts w:hint="eastAsia" w:ascii="黑体" w:hAnsi="黑体" w:eastAsia="黑体" w:cs="仿宋_GB2312"/>
          <w:bCs/>
          <w:color w:val="auto"/>
          <w:sz w:val="32"/>
          <w:szCs w:val="32"/>
        </w:rPr>
      </w:pPr>
    </w:p>
    <w:p w14:paraId="695C4601">
      <w:pPr>
        <w:pStyle w:val="4"/>
        <w:spacing w:line="560" w:lineRule="exact"/>
        <w:jc w:val="both"/>
        <w:rPr>
          <w:rFonts w:hint="eastAsia" w:ascii="黑体" w:hAnsi="黑体" w:eastAsia="黑体" w:cs="黑体"/>
          <w:color w:val="000000"/>
          <w:spacing w:val="-4"/>
          <w:sz w:val="32"/>
          <w:szCs w:val="32"/>
          <w:lang w:eastAsia="zh-CN"/>
        </w:rPr>
      </w:pPr>
      <w:r>
        <w:rPr>
          <w:rFonts w:hint="eastAsia" w:ascii="黑体" w:hAnsi="黑体" w:eastAsia="黑体" w:cs="黑体"/>
          <w:color w:val="000000"/>
          <w:spacing w:val="-4"/>
          <w:sz w:val="32"/>
          <w:szCs w:val="32"/>
        </w:rPr>
        <w:t>一、采购设备概况</w:t>
      </w:r>
    </w:p>
    <w:p w14:paraId="4C1C7F18">
      <w:pPr>
        <w:pStyle w:val="4"/>
        <w:spacing w:line="560" w:lineRule="exact"/>
        <w:ind w:firstLine="717" w:firstLineChars="230"/>
        <w:jc w:val="both"/>
        <w:rPr>
          <w:rFonts w:hint="eastAsia" w:ascii="仿宋_GB2312" w:hAnsi="仿宋_GB2312" w:eastAsia="仿宋_GB2312" w:cs="仿宋_GB2312"/>
          <w:color w:val="000000"/>
          <w:spacing w:val="-4"/>
          <w:sz w:val="32"/>
          <w:szCs w:val="32"/>
        </w:rPr>
      </w:pPr>
      <w:r>
        <w:rPr>
          <w:rFonts w:hint="eastAsia" w:ascii="仿宋_GB2312" w:hAnsi="仿宋_GB2312" w:eastAsia="仿宋_GB2312" w:cs="仿宋_GB2312"/>
          <w:color w:val="000000"/>
          <w:spacing w:val="-4"/>
          <w:sz w:val="32"/>
          <w:szCs w:val="32"/>
        </w:rPr>
        <w:t>离心式泥浆泵为压滤式固液分离机入料泵，采用独特的水力设计及叶轮安装方式，确保了其性能曲线比一般杂质泵更陡， 适合压滤机入料时应阻力的变化来实现大流量，低压力喂料与小流量，高压力过滤的目的。</w:t>
      </w:r>
    </w:p>
    <w:p w14:paraId="0D62D90E">
      <w:pPr>
        <w:pStyle w:val="4"/>
        <w:spacing w:line="560" w:lineRule="exact"/>
        <w:ind w:right="210" w:rightChars="100"/>
        <w:jc w:val="both"/>
        <w:rPr>
          <w:rFonts w:hint="eastAsia" w:ascii="黑体" w:hAnsi="黑体" w:eastAsia="黑体" w:cs="仿宋_GB2312"/>
          <w:bCs/>
          <w:color w:val="auto"/>
          <w:sz w:val="32"/>
          <w:szCs w:val="32"/>
        </w:rPr>
      </w:pPr>
      <w:r>
        <w:rPr>
          <w:rFonts w:hint="eastAsia" w:ascii="黑体" w:hAnsi="黑体" w:eastAsia="黑体" w:cs="仿宋_GB2312"/>
          <w:bCs/>
          <w:color w:val="auto"/>
          <w:sz w:val="32"/>
          <w:szCs w:val="32"/>
        </w:rPr>
        <w:t>二、采购设备供货范围</w:t>
      </w:r>
    </w:p>
    <w:p w14:paraId="49AB97D8">
      <w:pPr>
        <w:pStyle w:val="4"/>
        <w:spacing w:line="560" w:lineRule="exact"/>
        <w:ind w:firstLine="624" w:firstLineChars="200"/>
        <w:jc w:val="both"/>
        <w:rPr>
          <w:rFonts w:ascii="仿宋_GB2312" w:hAnsi="仿宋_GB2312" w:eastAsia="仿宋_GB2312" w:cs="仿宋_GB2312"/>
          <w:spacing w:val="-4"/>
          <w:sz w:val="32"/>
          <w:szCs w:val="32"/>
          <w:u w:val="single"/>
        </w:rPr>
      </w:pPr>
      <w:r>
        <w:rPr>
          <w:rFonts w:hint="eastAsia" w:ascii="仿宋_GB2312" w:hAnsi="仿宋_GB2312" w:eastAsia="仿宋_GB2312" w:cs="仿宋_GB2312"/>
          <w:spacing w:val="-4"/>
          <w:sz w:val="32"/>
          <w:szCs w:val="32"/>
        </w:rPr>
        <w:t>设备名称：</w:t>
      </w:r>
      <w:r>
        <w:rPr>
          <w:rFonts w:hint="eastAsia" w:ascii="仿宋_GB2312" w:hAnsi="仿宋_GB2312" w:eastAsia="仿宋_GB2312" w:cs="仿宋_GB2312"/>
          <w:spacing w:val="-4"/>
          <w:sz w:val="32"/>
          <w:szCs w:val="32"/>
          <w:u w:val="single"/>
        </w:rPr>
        <w:t xml:space="preserve"> 离心式泥浆泵 </w:t>
      </w:r>
    </w:p>
    <w:p w14:paraId="4978668C">
      <w:pPr>
        <w:pStyle w:val="4"/>
        <w:spacing w:line="560" w:lineRule="exact"/>
        <w:ind w:firstLine="624" w:firstLineChars="200"/>
        <w:jc w:val="both"/>
        <w:rPr>
          <w:rFonts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采购数量：</w:t>
      </w:r>
      <w:r>
        <w:rPr>
          <w:rFonts w:hint="eastAsia" w:ascii="仿宋_GB2312" w:hAnsi="仿宋_GB2312" w:eastAsia="仿宋_GB2312" w:cs="仿宋_GB2312"/>
          <w:spacing w:val="-4"/>
          <w:sz w:val="32"/>
          <w:szCs w:val="32"/>
          <w:u w:val="single"/>
        </w:rPr>
        <w:t xml:space="preserve"> </w:t>
      </w:r>
      <w:r>
        <w:rPr>
          <w:rFonts w:hint="eastAsia" w:ascii="仿宋_GB2312" w:hAnsi="仿宋_GB2312" w:eastAsia="仿宋_GB2312" w:cs="仿宋_GB2312"/>
          <w:spacing w:val="-4"/>
          <w:sz w:val="32"/>
          <w:szCs w:val="32"/>
          <w:u w:val="single"/>
          <w:lang w:val="en-US" w:eastAsia="zh-CN"/>
        </w:rPr>
        <w:t xml:space="preserve">  </w:t>
      </w:r>
      <w:r>
        <w:rPr>
          <w:rFonts w:hint="eastAsia" w:ascii="仿宋_GB2312" w:hAnsi="仿宋_GB2312" w:eastAsia="仿宋_GB2312" w:cs="仿宋_GB2312"/>
          <w:spacing w:val="-4"/>
          <w:sz w:val="32"/>
          <w:szCs w:val="32"/>
          <w:u w:val="single"/>
        </w:rPr>
        <w:t xml:space="preserve">1   </w:t>
      </w:r>
      <w:r>
        <w:rPr>
          <w:rFonts w:hint="eastAsia" w:ascii="仿宋_GB2312" w:hAnsi="仿宋_GB2312" w:eastAsia="仿宋_GB2312" w:cs="仿宋_GB2312"/>
          <w:spacing w:val="-4"/>
          <w:sz w:val="32"/>
          <w:szCs w:val="32"/>
        </w:rPr>
        <w:t>（台/套）</w:t>
      </w:r>
    </w:p>
    <w:p w14:paraId="5A30E738">
      <w:pPr>
        <w:pStyle w:val="4"/>
        <w:spacing w:line="560" w:lineRule="exact"/>
        <w:ind w:firstLine="624" w:firstLineChars="20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货物需求一览表：</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2269"/>
        <w:gridCol w:w="2406"/>
        <w:gridCol w:w="1059"/>
        <w:gridCol w:w="1071"/>
        <w:gridCol w:w="902"/>
      </w:tblGrid>
      <w:tr w14:paraId="1A90C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 w:type="pct"/>
            <w:noWrap w:val="0"/>
            <w:vAlign w:val="top"/>
          </w:tcPr>
          <w:p w14:paraId="6E39FB57">
            <w:pPr>
              <w:pStyle w:val="4"/>
              <w:spacing w:line="560" w:lineRule="exact"/>
              <w:jc w:val="center"/>
              <w:rPr>
                <w:rFonts w:ascii="仿宋_GB2312" w:hAnsi="仿宋_GB2312" w:eastAsia="仿宋_GB2312" w:cs="仿宋_GB2312"/>
                <w:spacing w:val="-4"/>
                <w:sz w:val="28"/>
                <w:szCs w:val="28"/>
              </w:rPr>
            </w:pPr>
            <w:r>
              <w:rPr>
                <w:rFonts w:hint="eastAsia" w:ascii="仿宋_GB2312" w:hAnsi="仿宋_GB2312" w:eastAsia="仿宋_GB2312" w:cs="仿宋_GB2312"/>
                <w:spacing w:val="-4"/>
                <w:sz w:val="28"/>
                <w:szCs w:val="28"/>
              </w:rPr>
              <w:t>序号</w:t>
            </w:r>
          </w:p>
        </w:tc>
        <w:tc>
          <w:tcPr>
            <w:tcW w:w="1331" w:type="pct"/>
            <w:noWrap w:val="0"/>
            <w:vAlign w:val="top"/>
          </w:tcPr>
          <w:p w14:paraId="5B16F765">
            <w:pPr>
              <w:pStyle w:val="4"/>
              <w:spacing w:line="560" w:lineRule="exact"/>
              <w:jc w:val="center"/>
              <w:rPr>
                <w:rFonts w:ascii="仿宋_GB2312" w:hAnsi="仿宋_GB2312" w:eastAsia="仿宋_GB2312" w:cs="仿宋_GB2312"/>
                <w:spacing w:val="-4"/>
                <w:sz w:val="28"/>
                <w:szCs w:val="28"/>
              </w:rPr>
            </w:pPr>
            <w:r>
              <w:rPr>
                <w:rFonts w:hint="eastAsia" w:ascii="仿宋_GB2312" w:hAnsi="仿宋_GB2312" w:eastAsia="仿宋_GB2312" w:cs="仿宋_GB2312"/>
                <w:spacing w:val="-4"/>
                <w:sz w:val="28"/>
                <w:szCs w:val="28"/>
              </w:rPr>
              <w:t>名称</w:t>
            </w:r>
          </w:p>
        </w:tc>
        <w:tc>
          <w:tcPr>
            <w:tcW w:w="1411" w:type="pct"/>
            <w:noWrap w:val="0"/>
            <w:vAlign w:val="top"/>
          </w:tcPr>
          <w:p w14:paraId="17490002">
            <w:pPr>
              <w:pStyle w:val="4"/>
              <w:spacing w:line="560" w:lineRule="exact"/>
              <w:jc w:val="center"/>
              <w:rPr>
                <w:rFonts w:ascii="仿宋_GB2312" w:hAnsi="仿宋_GB2312" w:eastAsia="仿宋_GB2312" w:cs="仿宋_GB2312"/>
                <w:spacing w:val="-4"/>
                <w:sz w:val="28"/>
                <w:szCs w:val="28"/>
              </w:rPr>
            </w:pPr>
            <w:r>
              <w:rPr>
                <w:rFonts w:hint="eastAsia" w:ascii="仿宋_GB2312" w:hAnsi="仿宋_GB2312" w:eastAsia="仿宋_GB2312" w:cs="仿宋_GB2312"/>
                <w:spacing w:val="-4"/>
                <w:sz w:val="28"/>
                <w:szCs w:val="28"/>
              </w:rPr>
              <w:t>参考型号</w:t>
            </w:r>
          </w:p>
        </w:tc>
        <w:tc>
          <w:tcPr>
            <w:tcW w:w="621" w:type="pct"/>
            <w:noWrap w:val="0"/>
            <w:vAlign w:val="top"/>
          </w:tcPr>
          <w:p w14:paraId="36017FAA">
            <w:pPr>
              <w:pStyle w:val="4"/>
              <w:spacing w:line="560" w:lineRule="exact"/>
              <w:jc w:val="center"/>
              <w:rPr>
                <w:rFonts w:ascii="仿宋_GB2312" w:hAnsi="仿宋_GB2312" w:eastAsia="仿宋_GB2312" w:cs="仿宋_GB2312"/>
                <w:spacing w:val="-4"/>
                <w:sz w:val="28"/>
                <w:szCs w:val="28"/>
              </w:rPr>
            </w:pPr>
            <w:r>
              <w:rPr>
                <w:rFonts w:hint="eastAsia" w:ascii="仿宋_GB2312" w:hAnsi="仿宋_GB2312" w:eastAsia="仿宋_GB2312" w:cs="仿宋_GB2312"/>
                <w:spacing w:val="-4"/>
                <w:sz w:val="28"/>
                <w:szCs w:val="28"/>
              </w:rPr>
              <w:t>单位</w:t>
            </w:r>
          </w:p>
        </w:tc>
        <w:tc>
          <w:tcPr>
            <w:tcW w:w="628" w:type="pct"/>
            <w:noWrap w:val="0"/>
            <w:vAlign w:val="top"/>
          </w:tcPr>
          <w:p w14:paraId="246EB4F9">
            <w:pPr>
              <w:pStyle w:val="4"/>
              <w:spacing w:line="560" w:lineRule="exact"/>
              <w:jc w:val="center"/>
              <w:rPr>
                <w:rFonts w:ascii="仿宋_GB2312" w:hAnsi="仿宋_GB2312" w:eastAsia="仿宋_GB2312" w:cs="仿宋_GB2312"/>
                <w:spacing w:val="-4"/>
                <w:sz w:val="28"/>
                <w:szCs w:val="28"/>
              </w:rPr>
            </w:pPr>
            <w:r>
              <w:rPr>
                <w:rFonts w:hint="eastAsia" w:ascii="仿宋_GB2312" w:hAnsi="仿宋_GB2312" w:eastAsia="仿宋_GB2312" w:cs="仿宋_GB2312"/>
                <w:spacing w:val="-4"/>
                <w:sz w:val="28"/>
                <w:szCs w:val="28"/>
              </w:rPr>
              <w:t>数量</w:t>
            </w:r>
          </w:p>
        </w:tc>
        <w:tc>
          <w:tcPr>
            <w:tcW w:w="529" w:type="pct"/>
            <w:noWrap w:val="0"/>
            <w:vAlign w:val="top"/>
          </w:tcPr>
          <w:p w14:paraId="40CCA124">
            <w:pPr>
              <w:pStyle w:val="4"/>
              <w:spacing w:line="560" w:lineRule="exact"/>
              <w:jc w:val="center"/>
              <w:rPr>
                <w:rFonts w:ascii="仿宋_GB2312" w:hAnsi="仿宋_GB2312" w:eastAsia="仿宋_GB2312" w:cs="仿宋_GB2312"/>
                <w:spacing w:val="-4"/>
                <w:sz w:val="28"/>
                <w:szCs w:val="28"/>
              </w:rPr>
            </w:pPr>
            <w:r>
              <w:rPr>
                <w:rFonts w:hint="eastAsia" w:ascii="仿宋_GB2312" w:hAnsi="仿宋_GB2312" w:eastAsia="仿宋_GB2312" w:cs="仿宋_GB2312"/>
                <w:spacing w:val="-4"/>
                <w:sz w:val="28"/>
                <w:szCs w:val="28"/>
              </w:rPr>
              <w:t>备注</w:t>
            </w:r>
          </w:p>
        </w:tc>
      </w:tr>
      <w:tr w14:paraId="4A704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478" w:type="pct"/>
            <w:noWrap w:val="0"/>
            <w:vAlign w:val="top"/>
          </w:tcPr>
          <w:p w14:paraId="1665C1D1">
            <w:pPr>
              <w:pStyle w:val="4"/>
              <w:spacing w:line="560" w:lineRule="exact"/>
              <w:jc w:val="center"/>
              <w:rPr>
                <w:rFonts w:ascii="仿宋_GB2312" w:hAnsi="仿宋_GB2312" w:eastAsia="仿宋_GB2312" w:cs="仿宋_GB2312"/>
                <w:spacing w:val="-4"/>
                <w:sz w:val="28"/>
                <w:szCs w:val="28"/>
              </w:rPr>
            </w:pPr>
            <w:r>
              <w:rPr>
                <w:rFonts w:hint="eastAsia" w:ascii="仿宋_GB2312" w:hAnsi="仿宋_GB2312" w:eastAsia="仿宋_GB2312" w:cs="仿宋_GB2312"/>
                <w:spacing w:val="-4"/>
                <w:sz w:val="28"/>
                <w:szCs w:val="28"/>
              </w:rPr>
              <w:t>1</w:t>
            </w:r>
          </w:p>
        </w:tc>
        <w:tc>
          <w:tcPr>
            <w:tcW w:w="1331" w:type="pct"/>
            <w:noWrap w:val="0"/>
            <w:vAlign w:val="top"/>
          </w:tcPr>
          <w:p w14:paraId="4E4AFAAB">
            <w:pPr>
              <w:pStyle w:val="4"/>
              <w:spacing w:line="560" w:lineRule="exact"/>
              <w:jc w:val="center"/>
              <w:rPr>
                <w:rFonts w:hint="eastAsia" w:ascii="仿宋_GB2312" w:hAnsi="仿宋_GB2312" w:eastAsia="仿宋_GB2312" w:cs="仿宋_GB2312"/>
                <w:spacing w:val="-4"/>
                <w:sz w:val="28"/>
                <w:szCs w:val="28"/>
              </w:rPr>
            </w:pPr>
            <w:r>
              <w:rPr>
                <w:rFonts w:hint="eastAsia" w:ascii="仿宋_GB2312" w:hAnsi="仿宋_GB2312" w:eastAsia="仿宋_GB2312" w:cs="仿宋_GB2312"/>
                <w:spacing w:val="-4"/>
                <w:sz w:val="28"/>
                <w:szCs w:val="28"/>
              </w:rPr>
              <w:t>离心式泥浆泵</w:t>
            </w:r>
          </w:p>
        </w:tc>
        <w:tc>
          <w:tcPr>
            <w:tcW w:w="1411" w:type="pct"/>
            <w:noWrap w:val="0"/>
            <w:vAlign w:val="top"/>
          </w:tcPr>
          <w:p w14:paraId="64789235">
            <w:pPr>
              <w:pStyle w:val="4"/>
              <w:spacing w:line="560" w:lineRule="exact"/>
              <w:jc w:val="center"/>
              <w:rPr>
                <w:rFonts w:hint="eastAsia" w:ascii="仿宋_GB2312" w:hAnsi="仿宋_GB2312" w:eastAsia="仿宋_GB2312" w:cs="仿宋_GB2312"/>
                <w:spacing w:val="-4"/>
                <w:sz w:val="28"/>
                <w:szCs w:val="28"/>
              </w:rPr>
            </w:pPr>
            <w:r>
              <w:rPr>
                <w:rFonts w:hint="eastAsia" w:ascii="仿宋_GB2312" w:hAnsi="仿宋_GB2312" w:eastAsia="仿宋_GB2312" w:cs="仿宋_GB2312"/>
                <w:spacing w:val="-4"/>
                <w:sz w:val="28"/>
                <w:szCs w:val="28"/>
              </w:rPr>
              <w:t>2（1/2）PN-215</w:t>
            </w:r>
          </w:p>
        </w:tc>
        <w:tc>
          <w:tcPr>
            <w:tcW w:w="621" w:type="pct"/>
            <w:noWrap w:val="0"/>
            <w:vAlign w:val="top"/>
          </w:tcPr>
          <w:p w14:paraId="549E30D1">
            <w:pPr>
              <w:pStyle w:val="4"/>
              <w:spacing w:line="560" w:lineRule="exact"/>
              <w:jc w:val="center"/>
              <w:rPr>
                <w:rFonts w:ascii="仿宋_GB2312" w:hAnsi="仿宋_GB2312" w:eastAsia="仿宋_GB2312" w:cs="仿宋_GB2312"/>
                <w:spacing w:val="-4"/>
                <w:sz w:val="28"/>
                <w:szCs w:val="28"/>
              </w:rPr>
            </w:pPr>
            <w:r>
              <w:rPr>
                <w:rFonts w:hint="eastAsia" w:ascii="仿宋_GB2312" w:hAnsi="仿宋_GB2312" w:eastAsia="仿宋_GB2312" w:cs="仿宋_GB2312"/>
                <w:spacing w:val="-4"/>
                <w:sz w:val="28"/>
                <w:szCs w:val="28"/>
              </w:rPr>
              <w:t>台</w:t>
            </w:r>
          </w:p>
        </w:tc>
        <w:tc>
          <w:tcPr>
            <w:tcW w:w="628" w:type="pct"/>
            <w:noWrap w:val="0"/>
            <w:vAlign w:val="top"/>
          </w:tcPr>
          <w:p w14:paraId="6206B473">
            <w:pPr>
              <w:pStyle w:val="4"/>
              <w:spacing w:line="560" w:lineRule="exact"/>
              <w:jc w:val="center"/>
              <w:rPr>
                <w:rFonts w:ascii="仿宋_GB2312" w:hAnsi="仿宋_GB2312" w:eastAsia="仿宋_GB2312" w:cs="仿宋_GB2312"/>
                <w:spacing w:val="-4"/>
                <w:sz w:val="28"/>
                <w:szCs w:val="28"/>
              </w:rPr>
            </w:pPr>
            <w:r>
              <w:rPr>
                <w:rFonts w:hint="eastAsia" w:ascii="仿宋_GB2312" w:hAnsi="仿宋_GB2312" w:eastAsia="仿宋_GB2312" w:cs="仿宋_GB2312"/>
                <w:spacing w:val="-4"/>
                <w:sz w:val="28"/>
                <w:szCs w:val="28"/>
              </w:rPr>
              <w:t>1</w:t>
            </w:r>
          </w:p>
        </w:tc>
        <w:tc>
          <w:tcPr>
            <w:tcW w:w="529" w:type="pct"/>
            <w:noWrap w:val="0"/>
            <w:vAlign w:val="top"/>
          </w:tcPr>
          <w:p w14:paraId="56F3B97D">
            <w:pPr>
              <w:pStyle w:val="4"/>
              <w:spacing w:line="560" w:lineRule="exact"/>
              <w:jc w:val="center"/>
              <w:rPr>
                <w:rFonts w:ascii="仿宋_GB2312" w:hAnsi="仿宋_GB2312" w:eastAsia="仿宋_GB2312" w:cs="仿宋_GB2312"/>
                <w:spacing w:val="-4"/>
                <w:sz w:val="28"/>
                <w:szCs w:val="28"/>
              </w:rPr>
            </w:pPr>
          </w:p>
        </w:tc>
      </w:tr>
    </w:tbl>
    <w:p w14:paraId="23DC20D4">
      <w:pPr>
        <w:pStyle w:val="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jc w:val="both"/>
        <w:textAlignment w:val="auto"/>
        <w:rPr>
          <w:rFonts w:hint="eastAsia" w:ascii="黑体" w:hAnsi="黑体" w:eastAsia="黑体" w:cs="仿宋_GB2312"/>
          <w:bCs/>
          <w:color w:val="auto"/>
          <w:sz w:val="32"/>
          <w:szCs w:val="32"/>
        </w:rPr>
      </w:pPr>
      <w:r>
        <w:rPr>
          <w:rFonts w:hint="eastAsia" w:ascii="黑体" w:hAnsi="黑体" w:eastAsia="黑体" w:cs="仿宋_GB2312"/>
          <w:bCs/>
          <w:color w:val="auto"/>
          <w:sz w:val="32"/>
          <w:szCs w:val="32"/>
          <w:lang w:val="en-US" w:eastAsia="zh-CN" w:bidi="ar-SA"/>
        </w:rPr>
        <w:t>三、</w:t>
      </w:r>
      <w:r>
        <w:rPr>
          <w:rFonts w:hint="eastAsia" w:ascii="黑体" w:hAnsi="黑体" w:eastAsia="黑体" w:cs="仿宋_GB2312"/>
          <w:bCs/>
          <w:color w:val="auto"/>
          <w:sz w:val="32"/>
          <w:szCs w:val="32"/>
        </w:rPr>
        <w:t>执行标准及规范</w:t>
      </w:r>
    </w:p>
    <w:p w14:paraId="4135FDF9">
      <w:pPr>
        <w:pStyle w:val="4"/>
        <w:keepNext w:val="0"/>
        <w:keepLines w:val="0"/>
        <w:pageBreakBefore w:val="0"/>
        <w:widowControl w:val="0"/>
        <w:kinsoku/>
        <w:wordWrap/>
        <w:overflowPunct/>
        <w:topLinePunct w:val="0"/>
        <w:autoSpaceDE w:val="0"/>
        <w:autoSpaceDN w:val="0"/>
        <w:bidi w:val="0"/>
        <w:adjustRightInd w:val="0"/>
        <w:snapToGrid/>
        <w:spacing w:line="360" w:lineRule="auto"/>
        <w:ind w:firstLine="624" w:firstLineChars="200"/>
        <w:jc w:val="both"/>
        <w:textAlignment w:val="auto"/>
        <w:rPr>
          <w:rFonts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所供应的货物将按下列标准（推荐）进行设计和制造。</w:t>
      </w:r>
    </w:p>
    <w:p w14:paraId="2BA76060">
      <w:pPr>
        <w:pStyle w:val="4"/>
        <w:keepNext w:val="0"/>
        <w:keepLines w:val="0"/>
        <w:pageBreakBefore w:val="0"/>
        <w:widowControl w:val="0"/>
        <w:kinsoku/>
        <w:wordWrap/>
        <w:overflowPunct/>
        <w:topLinePunct w:val="0"/>
        <w:autoSpaceDE w:val="0"/>
        <w:autoSpaceDN w:val="0"/>
        <w:bidi w:val="0"/>
        <w:adjustRightInd w:val="0"/>
        <w:snapToGrid/>
        <w:spacing w:line="360" w:lineRule="auto"/>
        <w:ind w:firstLine="624" w:firstLineChars="20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GB/T 3766-2015 液压传动 系统及其元件的通用规则和安全要求</w:t>
      </w:r>
      <w:r>
        <w:rPr>
          <w:rFonts w:hint="eastAsia" w:ascii="仿宋_GB2312" w:hAnsi="仿宋_GB2312" w:eastAsia="仿宋_GB2312" w:cs="仿宋_GB2312"/>
          <w:spacing w:val="-4"/>
          <w:sz w:val="32"/>
          <w:szCs w:val="32"/>
        </w:rPr>
        <w:t>。</w:t>
      </w:r>
    </w:p>
    <w:p w14:paraId="745EDB7C">
      <w:pPr>
        <w:pStyle w:val="4"/>
        <w:keepNext w:val="0"/>
        <w:keepLines w:val="0"/>
        <w:pageBreakBefore w:val="0"/>
        <w:widowControl w:val="0"/>
        <w:kinsoku/>
        <w:wordWrap/>
        <w:overflowPunct/>
        <w:topLinePunct w:val="0"/>
        <w:autoSpaceDE w:val="0"/>
        <w:autoSpaceDN w:val="0"/>
        <w:bidi w:val="0"/>
        <w:adjustRightInd w:val="0"/>
        <w:snapToGrid/>
        <w:spacing w:line="360" w:lineRule="auto"/>
        <w:ind w:firstLine="624" w:firstLineChars="200"/>
        <w:jc w:val="both"/>
        <w:textAlignment w:val="auto"/>
        <w:rPr>
          <w:rFonts w:hint="eastAsia" w:ascii="仿宋_GB2312" w:hAnsi="仿宋_GB2312" w:eastAsia="仿宋_GB2312" w:cs="仿宋_GB2312"/>
          <w:color w:val="000000"/>
          <w:spacing w:val="-4"/>
          <w:sz w:val="32"/>
          <w:szCs w:val="32"/>
          <w:lang w:val="en-US" w:eastAsia="zh-CN"/>
        </w:rPr>
      </w:pPr>
      <w:r>
        <w:rPr>
          <w:rFonts w:hint="eastAsia" w:ascii="仿宋_GB2312" w:hAnsi="仿宋_GB2312" w:eastAsia="仿宋_GB2312" w:cs="仿宋_GB2312"/>
          <w:color w:val="000000"/>
          <w:spacing w:val="-4"/>
          <w:sz w:val="32"/>
          <w:szCs w:val="32"/>
          <w:lang w:val="en-US" w:eastAsia="zh-CN"/>
        </w:rPr>
        <w:t>GB/T16907 《离心泵技术条件》</w:t>
      </w:r>
    </w:p>
    <w:p w14:paraId="5B74F68A">
      <w:pPr>
        <w:pStyle w:val="4"/>
        <w:keepNext w:val="0"/>
        <w:keepLines w:val="0"/>
        <w:pageBreakBefore w:val="0"/>
        <w:widowControl w:val="0"/>
        <w:kinsoku/>
        <w:wordWrap/>
        <w:overflowPunct/>
        <w:topLinePunct w:val="0"/>
        <w:autoSpaceDE w:val="0"/>
        <w:autoSpaceDN w:val="0"/>
        <w:bidi w:val="0"/>
        <w:adjustRightInd w:val="0"/>
        <w:snapToGrid/>
        <w:spacing w:line="360" w:lineRule="auto"/>
        <w:ind w:firstLine="624" w:firstLineChars="200"/>
        <w:jc w:val="both"/>
        <w:textAlignment w:val="auto"/>
        <w:rPr>
          <w:rFonts w:hint="eastAsia" w:ascii="仿宋_GB2312" w:hAnsi="仿宋_GB2312" w:eastAsia="仿宋_GB2312" w:cs="仿宋_GB2312"/>
          <w:color w:val="000000"/>
          <w:spacing w:val="-4"/>
          <w:sz w:val="32"/>
          <w:szCs w:val="32"/>
          <w:lang w:val="en-US" w:eastAsia="zh-CN"/>
        </w:rPr>
      </w:pPr>
      <w:r>
        <w:rPr>
          <w:rFonts w:hint="eastAsia" w:ascii="仿宋_GB2312" w:hAnsi="仿宋_GB2312" w:eastAsia="仿宋_GB2312" w:cs="仿宋_GB2312"/>
          <w:color w:val="000000"/>
          <w:spacing w:val="-4"/>
          <w:sz w:val="32"/>
          <w:szCs w:val="32"/>
          <w:lang w:val="en-US" w:eastAsia="zh-CN"/>
        </w:rPr>
        <w:t>GB3216 《离心泵、轴流泵、混流泵和旋涡泵试验方法》</w:t>
      </w:r>
    </w:p>
    <w:p w14:paraId="320ADC8E">
      <w:pPr>
        <w:pStyle w:val="4"/>
        <w:keepNext w:val="0"/>
        <w:keepLines w:val="0"/>
        <w:pageBreakBefore w:val="0"/>
        <w:widowControl w:val="0"/>
        <w:kinsoku/>
        <w:wordWrap/>
        <w:overflowPunct/>
        <w:topLinePunct w:val="0"/>
        <w:autoSpaceDE w:val="0"/>
        <w:autoSpaceDN w:val="0"/>
        <w:bidi w:val="0"/>
        <w:adjustRightInd w:val="0"/>
        <w:snapToGrid/>
        <w:spacing w:line="360" w:lineRule="auto"/>
        <w:ind w:firstLine="624" w:firstLineChars="200"/>
        <w:jc w:val="both"/>
        <w:textAlignment w:val="auto"/>
        <w:rPr>
          <w:rFonts w:hint="eastAsia" w:ascii="仿宋_GB2312" w:hAnsi="仿宋_GB2312" w:eastAsia="仿宋_GB2312" w:cs="仿宋_GB2312"/>
          <w:color w:val="000000"/>
          <w:spacing w:val="-4"/>
          <w:sz w:val="32"/>
          <w:szCs w:val="32"/>
          <w:lang w:val="en-US" w:eastAsia="zh-CN"/>
        </w:rPr>
      </w:pPr>
      <w:r>
        <w:rPr>
          <w:rFonts w:hint="eastAsia" w:ascii="仿宋_GB2312" w:hAnsi="仿宋_GB2312" w:eastAsia="仿宋_GB2312" w:cs="仿宋_GB2312"/>
          <w:color w:val="000000"/>
          <w:spacing w:val="-4"/>
          <w:sz w:val="32"/>
          <w:szCs w:val="32"/>
          <w:lang w:val="en-US" w:eastAsia="zh-CN"/>
        </w:rPr>
        <w:t>GB10889《泵的振动测量与评价方法》</w:t>
      </w:r>
    </w:p>
    <w:p w14:paraId="07C97B16">
      <w:pPr>
        <w:pStyle w:val="4"/>
        <w:keepNext w:val="0"/>
        <w:keepLines w:val="0"/>
        <w:pageBreakBefore w:val="0"/>
        <w:widowControl w:val="0"/>
        <w:kinsoku/>
        <w:wordWrap/>
        <w:overflowPunct/>
        <w:topLinePunct w:val="0"/>
        <w:autoSpaceDE w:val="0"/>
        <w:autoSpaceDN w:val="0"/>
        <w:bidi w:val="0"/>
        <w:adjustRightInd w:val="0"/>
        <w:snapToGrid/>
        <w:spacing w:line="360" w:lineRule="auto"/>
        <w:ind w:firstLine="624" w:firstLineChars="200"/>
        <w:jc w:val="both"/>
        <w:textAlignment w:val="auto"/>
        <w:rPr>
          <w:rFonts w:hint="eastAsia" w:ascii="仿宋_GB2312" w:hAnsi="仿宋_GB2312" w:eastAsia="仿宋_GB2312" w:cs="仿宋_GB2312"/>
          <w:color w:val="000000"/>
          <w:spacing w:val="-4"/>
          <w:sz w:val="32"/>
          <w:szCs w:val="32"/>
          <w:lang w:val="en-US" w:eastAsia="zh-CN"/>
        </w:rPr>
      </w:pPr>
      <w:r>
        <w:rPr>
          <w:rFonts w:hint="eastAsia" w:ascii="仿宋_GB2312" w:hAnsi="仿宋_GB2312" w:eastAsia="仿宋_GB2312" w:cs="仿宋_GB2312"/>
          <w:color w:val="000000"/>
          <w:spacing w:val="-4"/>
          <w:sz w:val="32"/>
          <w:szCs w:val="32"/>
          <w:lang w:val="en-US" w:eastAsia="zh-CN"/>
        </w:rPr>
        <w:t>Q/TK0800-2016 《离心式泥浆泵》</w:t>
      </w:r>
    </w:p>
    <w:p w14:paraId="01467582">
      <w:pPr>
        <w:pStyle w:val="4"/>
        <w:keepNext w:val="0"/>
        <w:keepLines w:val="0"/>
        <w:pageBreakBefore w:val="0"/>
        <w:widowControl w:val="0"/>
        <w:kinsoku/>
        <w:wordWrap/>
        <w:overflowPunct/>
        <w:topLinePunct w:val="0"/>
        <w:autoSpaceDE w:val="0"/>
        <w:autoSpaceDN w:val="0"/>
        <w:bidi w:val="0"/>
        <w:adjustRightInd w:val="0"/>
        <w:snapToGrid/>
        <w:spacing w:line="360" w:lineRule="auto"/>
        <w:ind w:firstLine="624" w:firstLineChars="200"/>
        <w:jc w:val="both"/>
        <w:textAlignment w:val="auto"/>
        <w:rPr>
          <w:rFonts w:hint="eastAsia" w:ascii="仿宋_GB2312" w:hAnsi="仿宋_GB2312" w:eastAsia="仿宋_GB2312" w:cs="仿宋_GB2312"/>
          <w:color w:val="000000"/>
          <w:spacing w:val="-4"/>
          <w:sz w:val="32"/>
          <w:szCs w:val="32"/>
          <w:lang w:val="en-US" w:eastAsia="zh-CN"/>
        </w:rPr>
      </w:pPr>
      <w:r>
        <w:rPr>
          <w:rFonts w:hint="eastAsia" w:ascii="仿宋_GB2312" w:hAnsi="仿宋_GB2312" w:eastAsia="仿宋_GB2312" w:cs="仿宋_GB2312"/>
          <w:color w:val="000000"/>
          <w:spacing w:val="-4"/>
          <w:sz w:val="32"/>
          <w:szCs w:val="32"/>
          <w:lang w:val="en-US" w:eastAsia="zh-CN"/>
        </w:rPr>
        <w:t>JB/T6879-93 《离心泵铸件过流部件尺寸公差》</w:t>
      </w:r>
    </w:p>
    <w:p w14:paraId="77E893A8">
      <w:pPr>
        <w:pStyle w:val="4"/>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黑体" w:hAnsi="黑体" w:eastAsia="黑体" w:cs="仿宋_GB2312"/>
          <w:bCs/>
          <w:color w:val="FF0000"/>
          <w:sz w:val="32"/>
          <w:szCs w:val="32"/>
        </w:rPr>
      </w:pPr>
      <w:r>
        <w:rPr>
          <w:rFonts w:hint="eastAsia" w:ascii="黑体" w:hAnsi="黑体" w:eastAsia="黑体" w:cs="仿宋_GB2312"/>
          <w:bCs/>
          <w:color w:val="auto"/>
          <w:sz w:val="32"/>
          <w:szCs w:val="32"/>
        </w:rPr>
        <w:t>四、技术参数及要求</w:t>
      </w:r>
    </w:p>
    <w:p w14:paraId="338D5D8E">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（一）技术参数</w:t>
      </w:r>
    </w:p>
    <w:p w14:paraId="56A319C1">
      <w:pPr>
        <w:keepNext w:val="0"/>
        <w:keepLines w:val="0"/>
        <w:pageBreakBefore w:val="0"/>
        <w:widowControl w:val="0"/>
        <w:kinsoku/>
        <w:wordWrap/>
        <w:overflowPunct/>
        <w:topLinePunct w:val="0"/>
        <w:bidi w:val="0"/>
        <w:snapToGrid/>
        <w:spacing w:line="360" w:lineRule="auto"/>
        <w:ind w:left="0" w:leftChars="0" w:right="0" w:rightChars="0" w:firstLine="624" w:firstLineChars="200"/>
        <w:textAlignment w:val="auto"/>
        <w:rPr>
          <w:rFonts w:ascii="仿宋_GB2312" w:hAnsi="仿宋_GB2312" w:eastAsia="仿宋_GB2312" w:cs="仿宋_GB2312"/>
          <w:color w:val="000000"/>
          <w:spacing w:val="-4"/>
          <w:kern w:val="0"/>
          <w:sz w:val="32"/>
          <w:szCs w:val="32"/>
        </w:rPr>
      </w:pPr>
      <w:r>
        <w:rPr>
          <w:rFonts w:hint="eastAsia" w:ascii="仿宋_GB2312" w:hAnsi="仿宋_GB2312" w:eastAsia="仿宋_GB2312" w:cs="仿宋_GB2312"/>
          <w:color w:val="000000"/>
          <w:spacing w:val="-4"/>
          <w:kern w:val="0"/>
          <w:sz w:val="32"/>
          <w:szCs w:val="32"/>
        </w:rPr>
        <w:t>1.</w:t>
      </w:r>
      <w:r>
        <w:rPr>
          <w:rFonts w:hint="eastAsia" w:ascii="仿宋_GB2312" w:hAnsi="仿宋_GB2312" w:eastAsia="仿宋_GB2312" w:cs="仿宋_GB2312"/>
          <w:color w:val="000000"/>
          <w:spacing w:val="-4"/>
          <w:kern w:val="0"/>
          <w:sz w:val="32"/>
          <w:szCs w:val="32"/>
          <w:lang w:val="en-US" w:eastAsia="zh-CN"/>
        </w:rPr>
        <w:t>额定</w:t>
      </w:r>
      <w:r>
        <w:rPr>
          <w:rFonts w:hint="eastAsia" w:ascii="仿宋_GB2312" w:hAnsi="仿宋_GB2312" w:eastAsia="仿宋_GB2312" w:cs="仿宋_GB2312"/>
          <w:color w:val="000000"/>
          <w:spacing w:val="-4"/>
          <w:kern w:val="0"/>
          <w:sz w:val="32"/>
          <w:szCs w:val="32"/>
        </w:rPr>
        <w:t>流量：</w:t>
      </w:r>
      <w:r>
        <w:rPr>
          <w:rFonts w:hint="eastAsia" w:ascii="仿宋_GB2312" w:hAnsi="仿宋_GB2312" w:eastAsia="仿宋_GB2312" w:cs="仿宋_GB2312"/>
          <w:color w:val="000000"/>
          <w:spacing w:val="-4"/>
          <w:kern w:val="0"/>
          <w:sz w:val="32"/>
          <w:szCs w:val="32"/>
          <w:lang w:val="en-US" w:eastAsia="zh-CN"/>
        </w:rPr>
        <w:t>25</w:t>
      </w:r>
      <w:r>
        <w:rPr>
          <w:rFonts w:ascii="仿宋_GB2312" w:hAnsi="仿宋_GB2312" w:eastAsia="仿宋_GB2312" w:cs="仿宋_GB2312"/>
          <w:color w:val="000000"/>
          <w:spacing w:val="-4"/>
          <w:kern w:val="0"/>
          <w:sz w:val="32"/>
          <w:szCs w:val="32"/>
        </w:rPr>
        <w:t>m</w:t>
      </w:r>
      <w:r>
        <w:rPr>
          <w:rFonts w:ascii="Calibri" w:hAnsi="Calibri" w:eastAsia="仿宋_GB2312" w:cs="Calibri"/>
          <w:color w:val="000000"/>
          <w:spacing w:val="-4"/>
          <w:kern w:val="0"/>
          <w:sz w:val="32"/>
          <w:szCs w:val="32"/>
        </w:rPr>
        <w:t>³</w:t>
      </w:r>
      <w:r>
        <w:rPr>
          <w:rFonts w:ascii="仿宋_GB2312" w:hAnsi="仿宋_GB2312" w:eastAsia="仿宋_GB2312" w:cs="仿宋_GB2312"/>
          <w:color w:val="000000"/>
          <w:spacing w:val="-4"/>
          <w:kern w:val="0"/>
          <w:sz w:val="32"/>
          <w:szCs w:val="32"/>
        </w:rPr>
        <w:t>/</w:t>
      </w:r>
      <w:r>
        <w:rPr>
          <w:rFonts w:hint="eastAsia" w:ascii="仿宋_GB2312" w:hAnsi="仿宋_GB2312" w:eastAsia="仿宋_GB2312" w:cs="仿宋_GB2312"/>
          <w:color w:val="000000"/>
          <w:spacing w:val="-4"/>
          <w:kern w:val="0"/>
          <w:sz w:val="32"/>
          <w:szCs w:val="32"/>
        </w:rPr>
        <w:t xml:space="preserve">h </w:t>
      </w:r>
    </w:p>
    <w:p w14:paraId="61A9C9C8">
      <w:pPr>
        <w:keepNext w:val="0"/>
        <w:keepLines w:val="0"/>
        <w:pageBreakBefore w:val="0"/>
        <w:widowControl w:val="0"/>
        <w:kinsoku/>
        <w:wordWrap/>
        <w:overflowPunct/>
        <w:topLinePunct w:val="0"/>
        <w:bidi w:val="0"/>
        <w:snapToGrid/>
        <w:spacing w:line="360" w:lineRule="auto"/>
        <w:ind w:left="0" w:leftChars="0" w:right="0" w:rightChars="0" w:firstLine="624" w:firstLineChars="200"/>
        <w:textAlignment w:val="auto"/>
        <w:rPr>
          <w:rFonts w:ascii="仿宋_GB2312" w:hAnsi="仿宋_GB2312" w:eastAsia="仿宋_GB2312" w:cs="仿宋_GB2312"/>
          <w:color w:val="000000"/>
          <w:spacing w:val="-4"/>
          <w:kern w:val="0"/>
          <w:sz w:val="32"/>
          <w:szCs w:val="32"/>
        </w:rPr>
      </w:pPr>
      <w:r>
        <w:rPr>
          <w:rFonts w:hint="eastAsia" w:ascii="仿宋_GB2312" w:hAnsi="仿宋_GB2312" w:eastAsia="仿宋_GB2312" w:cs="仿宋_GB2312"/>
          <w:color w:val="000000"/>
          <w:spacing w:val="-4"/>
          <w:kern w:val="0"/>
          <w:sz w:val="32"/>
          <w:szCs w:val="32"/>
        </w:rPr>
        <w:t>2.扬程：</w:t>
      </w:r>
      <w:r>
        <w:rPr>
          <w:rFonts w:hint="eastAsia" w:ascii="仿宋_GB2312" w:hAnsi="仿宋_GB2312" w:eastAsia="仿宋_GB2312" w:cs="仿宋_GB2312"/>
          <w:color w:val="000000"/>
          <w:spacing w:val="-4"/>
          <w:kern w:val="0"/>
          <w:sz w:val="32"/>
          <w:szCs w:val="32"/>
          <w:lang w:val="en-US" w:eastAsia="zh-CN"/>
        </w:rPr>
        <w:t>70</w:t>
      </w:r>
      <w:r>
        <w:rPr>
          <w:rFonts w:hint="eastAsia" w:ascii="仿宋_GB2312" w:hAnsi="仿宋_GB2312" w:eastAsia="仿宋_GB2312" w:cs="仿宋_GB2312"/>
          <w:color w:val="000000"/>
          <w:spacing w:val="-4"/>
          <w:kern w:val="0"/>
          <w:sz w:val="32"/>
          <w:szCs w:val="32"/>
        </w:rPr>
        <w:t>m</w:t>
      </w:r>
    </w:p>
    <w:p w14:paraId="4E8FACE6">
      <w:pPr>
        <w:keepNext w:val="0"/>
        <w:keepLines w:val="0"/>
        <w:pageBreakBefore w:val="0"/>
        <w:widowControl w:val="0"/>
        <w:kinsoku/>
        <w:wordWrap/>
        <w:overflowPunct/>
        <w:topLinePunct w:val="0"/>
        <w:bidi w:val="0"/>
        <w:snapToGrid/>
        <w:spacing w:line="360" w:lineRule="auto"/>
        <w:ind w:left="0" w:leftChars="0" w:right="0" w:rightChars="0" w:firstLine="624" w:firstLineChars="200"/>
        <w:textAlignment w:val="auto"/>
        <w:rPr>
          <w:rFonts w:ascii="仿宋_GB2312" w:hAnsi="仿宋_GB2312" w:eastAsia="仿宋_GB2312" w:cs="仿宋_GB2312"/>
          <w:color w:val="000000"/>
          <w:spacing w:val="-4"/>
          <w:kern w:val="0"/>
          <w:sz w:val="32"/>
          <w:szCs w:val="32"/>
        </w:rPr>
      </w:pPr>
      <w:r>
        <w:rPr>
          <w:rFonts w:hint="eastAsia" w:ascii="仿宋_GB2312" w:hAnsi="仿宋_GB2312" w:eastAsia="仿宋_GB2312" w:cs="仿宋_GB2312"/>
          <w:color w:val="000000"/>
          <w:spacing w:val="-4"/>
          <w:kern w:val="0"/>
          <w:sz w:val="32"/>
          <w:szCs w:val="32"/>
        </w:rPr>
        <w:t>3.转速：14</w:t>
      </w:r>
      <w:r>
        <w:rPr>
          <w:rFonts w:hint="eastAsia" w:ascii="仿宋_GB2312" w:hAnsi="仿宋_GB2312" w:eastAsia="仿宋_GB2312" w:cs="仿宋_GB2312"/>
          <w:color w:val="000000"/>
          <w:spacing w:val="-4"/>
          <w:kern w:val="0"/>
          <w:sz w:val="32"/>
          <w:szCs w:val="32"/>
          <w:lang w:val="en-US" w:eastAsia="zh-CN"/>
        </w:rPr>
        <w:t>70</w:t>
      </w:r>
      <w:r>
        <w:rPr>
          <w:rFonts w:hint="eastAsia" w:ascii="仿宋_GB2312" w:hAnsi="仿宋_GB2312" w:eastAsia="仿宋_GB2312" w:cs="仿宋_GB2312"/>
          <w:color w:val="000000"/>
          <w:spacing w:val="-4"/>
          <w:kern w:val="0"/>
          <w:sz w:val="32"/>
          <w:szCs w:val="32"/>
        </w:rPr>
        <w:t>r/min</w:t>
      </w:r>
    </w:p>
    <w:p w14:paraId="53192A95">
      <w:pPr>
        <w:keepNext w:val="0"/>
        <w:keepLines w:val="0"/>
        <w:pageBreakBefore w:val="0"/>
        <w:widowControl w:val="0"/>
        <w:kinsoku/>
        <w:wordWrap/>
        <w:overflowPunct/>
        <w:topLinePunct w:val="0"/>
        <w:bidi w:val="0"/>
        <w:snapToGrid/>
        <w:spacing w:line="360" w:lineRule="auto"/>
        <w:ind w:left="0" w:leftChars="0" w:right="0" w:rightChars="0" w:firstLine="624" w:firstLineChars="200"/>
        <w:textAlignment w:val="auto"/>
        <w:rPr>
          <w:rFonts w:hint="default" w:ascii="仿宋_GB2312" w:hAnsi="仿宋_GB2312" w:eastAsia="仿宋_GB2312" w:cs="仿宋_GB2312"/>
          <w:color w:val="000000"/>
          <w:spacing w:val="-4"/>
          <w:kern w:val="0"/>
          <w:sz w:val="32"/>
          <w:szCs w:val="32"/>
          <w:lang w:val="en-US" w:eastAsia="zh-CN"/>
        </w:rPr>
      </w:pPr>
      <w:r>
        <w:rPr>
          <w:rFonts w:hint="eastAsia" w:ascii="仿宋_GB2312" w:hAnsi="仿宋_GB2312" w:eastAsia="仿宋_GB2312" w:cs="仿宋_GB2312"/>
          <w:color w:val="000000"/>
          <w:spacing w:val="-4"/>
          <w:kern w:val="0"/>
          <w:sz w:val="32"/>
          <w:szCs w:val="32"/>
        </w:rPr>
        <w:t>4.功率：22</w:t>
      </w:r>
      <w:r>
        <w:rPr>
          <w:rFonts w:hint="eastAsia" w:ascii="仿宋_GB2312" w:hAnsi="仿宋_GB2312" w:eastAsia="仿宋_GB2312" w:cs="仿宋_GB2312"/>
          <w:color w:val="000000"/>
          <w:spacing w:val="-4"/>
          <w:kern w:val="0"/>
          <w:sz w:val="32"/>
          <w:szCs w:val="32"/>
          <w:lang w:val="en-US" w:eastAsia="zh-CN"/>
        </w:rPr>
        <w:t>kW</w:t>
      </w:r>
    </w:p>
    <w:p w14:paraId="47FAA428">
      <w:pPr>
        <w:keepNext w:val="0"/>
        <w:keepLines w:val="0"/>
        <w:pageBreakBefore w:val="0"/>
        <w:widowControl w:val="0"/>
        <w:kinsoku/>
        <w:wordWrap/>
        <w:overflowPunct/>
        <w:topLinePunct w:val="0"/>
        <w:bidi w:val="0"/>
        <w:snapToGrid/>
        <w:spacing w:line="360" w:lineRule="auto"/>
        <w:ind w:left="0" w:leftChars="0" w:right="0" w:rightChars="0" w:firstLine="624" w:firstLineChars="200"/>
        <w:textAlignment w:val="auto"/>
        <w:rPr>
          <w:rFonts w:hint="eastAsia" w:ascii="仿宋_GB2312" w:hAnsi="仿宋_GB2312" w:eastAsia="仿宋_GB2312" w:cs="仿宋_GB2312"/>
          <w:color w:val="000000"/>
          <w:spacing w:val="-4"/>
          <w:kern w:val="0"/>
          <w:sz w:val="32"/>
          <w:szCs w:val="32"/>
        </w:rPr>
      </w:pPr>
      <w:r>
        <w:rPr>
          <w:rFonts w:hint="eastAsia" w:ascii="仿宋_GB2312" w:hAnsi="仿宋_GB2312" w:eastAsia="仿宋_GB2312" w:cs="仿宋_GB2312"/>
          <w:color w:val="000000"/>
          <w:spacing w:val="-4"/>
          <w:kern w:val="0"/>
          <w:sz w:val="32"/>
          <w:szCs w:val="32"/>
        </w:rPr>
        <w:t>5.额定电压：</w:t>
      </w:r>
      <w:r>
        <w:rPr>
          <w:rFonts w:hint="eastAsia" w:ascii="仿宋_GB2312" w:hAnsi="仿宋_GB2312" w:eastAsia="仿宋_GB2312" w:cs="仿宋_GB2312"/>
          <w:color w:val="000000"/>
          <w:spacing w:val="-4"/>
          <w:kern w:val="0"/>
          <w:sz w:val="32"/>
          <w:szCs w:val="32"/>
          <w:lang w:val="en-US" w:eastAsia="zh-CN"/>
        </w:rPr>
        <w:t>380/660</w:t>
      </w:r>
      <w:r>
        <w:rPr>
          <w:rFonts w:hint="eastAsia" w:ascii="仿宋_GB2312" w:hAnsi="仿宋_GB2312" w:eastAsia="仿宋_GB2312" w:cs="仿宋_GB2312"/>
          <w:color w:val="000000"/>
          <w:spacing w:val="-4"/>
          <w:kern w:val="0"/>
          <w:sz w:val="32"/>
          <w:szCs w:val="32"/>
        </w:rPr>
        <w:t>V</w:t>
      </w:r>
    </w:p>
    <w:p w14:paraId="6DF6BA85">
      <w:pPr>
        <w:pageBreakBefore w:val="0"/>
        <w:wordWrap/>
        <w:overflowPunct w:val="0"/>
        <w:topLinePunct w:val="0"/>
        <w:autoSpaceDE w:val="0"/>
        <w:autoSpaceDN w:val="0"/>
        <w:bidi w:val="0"/>
        <w:snapToGrid w:val="0"/>
        <w:spacing w:line="560" w:lineRule="exact"/>
        <w:ind w:firstLine="640" w:firstLineChars="200"/>
        <w:textAlignment w:val="baseline"/>
        <w:rPr>
          <w:rFonts w:hint="eastAsia" w:ascii="仿宋_GB2312" w:hAnsi="宋体" w:eastAsia="仿宋_GB2312" w:cs="Times New Roman"/>
          <w:b w:val="0"/>
          <w:bCs/>
          <w:kern w:val="2"/>
          <w:sz w:val="32"/>
          <w:szCs w:val="32"/>
          <w:lang w:val="en-US" w:eastAsia="zh-CN" w:bidi="ar-SA"/>
        </w:rPr>
      </w:pPr>
      <w:r>
        <w:rPr>
          <w:rFonts w:hint="eastAsia" w:ascii="仿宋_GB2312" w:hAnsi="宋体" w:eastAsia="仿宋_GB2312" w:cs="Times New Roman"/>
          <w:b w:val="0"/>
          <w:bCs/>
          <w:kern w:val="2"/>
          <w:sz w:val="32"/>
          <w:szCs w:val="32"/>
          <w:lang w:val="en-US" w:eastAsia="zh-CN" w:bidi="ar-SA"/>
        </w:rPr>
        <w:t>6.配用防爆电机：参考功率22kW 、电压等级380/660v、转速1450r/min、防爆类型EXdI、防护等级IP55、频率50Hz。</w:t>
      </w:r>
    </w:p>
    <w:p w14:paraId="4F700D79">
      <w:pPr>
        <w:pageBreakBefore w:val="0"/>
        <w:wordWrap/>
        <w:overflowPunct w:val="0"/>
        <w:topLinePunct w:val="0"/>
        <w:autoSpaceDE w:val="0"/>
        <w:autoSpaceDN w:val="0"/>
        <w:bidi w:val="0"/>
        <w:snapToGrid w:val="0"/>
        <w:spacing w:line="560" w:lineRule="exact"/>
        <w:ind w:firstLine="640" w:firstLineChars="200"/>
        <w:textAlignment w:val="baseline"/>
        <w:rPr>
          <w:rFonts w:hint="eastAsia"/>
        </w:rPr>
      </w:pPr>
      <w:r>
        <w:rPr>
          <w:rFonts w:hint="eastAsia" w:ascii="仿宋_GB2312" w:hAnsi="宋体" w:eastAsia="仿宋_GB2312" w:cs="Times New Roman"/>
          <w:b w:val="0"/>
          <w:bCs/>
          <w:kern w:val="2"/>
          <w:sz w:val="32"/>
          <w:szCs w:val="32"/>
          <w:lang w:val="en-US" w:eastAsia="zh-CN" w:bidi="ar-SA"/>
        </w:rPr>
        <w:t>5.泵进、出水口径：80mm</w:t>
      </w:r>
    </w:p>
    <w:p w14:paraId="446B48C4">
      <w:pPr>
        <w:keepNext w:val="0"/>
        <w:keepLines w:val="0"/>
        <w:pageBreakBefore w:val="0"/>
        <w:widowControl w:val="0"/>
        <w:kinsoku/>
        <w:wordWrap/>
        <w:overflowPunct/>
        <w:topLinePunct w:val="0"/>
        <w:bidi w:val="0"/>
        <w:snapToGrid/>
        <w:spacing w:line="360" w:lineRule="auto"/>
        <w:ind w:left="0" w:leftChars="0" w:right="0" w:rightChars="0" w:firstLine="624" w:firstLineChars="200"/>
        <w:textAlignment w:val="auto"/>
        <w:rPr>
          <w:rFonts w:hint="eastAsia" w:ascii="仿宋_GB2312" w:hAnsi="仿宋_GB2312" w:eastAsia="仿宋_GB2312" w:cs="仿宋_GB2312"/>
          <w:color w:val="000000"/>
          <w:spacing w:val="-4"/>
          <w:kern w:val="0"/>
          <w:sz w:val="32"/>
          <w:szCs w:val="32"/>
        </w:rPr>
      </w:pPr>
      <w:r>
        <w:rPr>
          <w:rFonts w:hint="eastAsia" w:ascii="仿宋_GB2312" w:hAnsi="仿宋_GB2312" w:eastAsia="仿宋_GB2312" w:cs="仿宋_GB2312"/>
          <w:color w:val="000000"/>
          <w:spacing w:val="-4"/>
          <w:kern w:val="0"/>
          <w:sz w:val="32"/>
          <w:szCs w:val="32"/>
          <w:lang w:val="en-US" w:eastAsia="zh-CN"/>
        </w:rPr>
        <w:t>（二）</w:t>
      </w:r>
      <w:r>
        <w:rPr>
          <w:rFonts w:hint="eastAsia" w:ascii="仿宋_GB2312" w:hAnsi="仿宋_GB2312" w:eastAsia="仿宋_GB2312" w:cs="仿宋_GB2312"/>
          <w:color w:val="000000"/>
          <w:spacing w:val="-4"/>
          <w:kern w:val="0"/>
          <w:sz w:val="32"/>
          <w:szCs w:val="32"/>
        </w:rPr>
        <w:t>技术要求</w:t>
      </w:r>
    </w:p>
    <w:p w14:paraId="53AEFF3C">
      <w:pPr>
        <w:keepNext w:val="0"/>
        <w:keepLines w:val="0"/>
        <w:pageBreakBefore w:val="0"/>
        <w:widowControl w:val="0"/>
        <w:kinsoku/>
        <w:wordWrap/>
        <w:overflowPunct/>
        <w:topLinePunct w:val="0"/>
        <w:bidi w:val="0"/>
        <w:snapToGrid/>
        <w:spacing w:line="360" w:lineRule="auto"/>
        <w:ind w:left="0" w:leftChars="0" w:right="0" w:rightChars="0" w:firstLine="624" w:firstLineChars="200"/>
        <w:textAlignment w:val="auto"/>
        <w:rPr>
          <w:rFonts w:hint="eastAsia" w:ascii="仿宋_GB2312" w:hAnsi="仿宋_GB2312" w:eastAsia="仿宋_GB2312" w:cs="仿宋_GB2312"/>
          <w:color w:val="000000"/>
          <w:spacing w:val="-4"/>
          <w:kern w:val="0"/>
          <w:sz w:val="32"/>
          <w:szCs w:val="32"/>
        </w:rPr>
      </w:pPr>
      <w:r>
        <w:rPr>
          <w:rFonts w:hint="eastAsia" w:ascii="仿宋_GB2312" w:hAnsi="仿宋_GB2312" w:eastAsia="仿宋_GB2312" w:cs="仿宋_GB2312"/>
          <w:color w:val="000000"/>
          <w:spacing w:val="-4"/>
          <w:kern w:val="0"/>
          <w:sz w:val="32"/>
          <w:szCs w:val="32"/>
        </w:rPr>
        <w:t>1</w:t>
      </w:r>
      <w:r>
        <w:rPr>
          <w:rFonts w:hint="eastAsia" w:ascii="仿宋_GB2312" w:hAnsi="仿宋_GB2312" w:eastAsia="仿宋_GB2312" w:cs="仿宋_GB2312"/>
          <w:color w:val="000000"/>
          <w:spacing w:val="-4"/>
          <w:kern w:val="0"/>
          <w:sz w:val="32"/>
          <w:szCs w:val="32"/>
          <w:lang w:eastAsia="zh-CN"/>
        </w:rPr>
        <w:t>.独</w:t>
      </w:r>
      <w:r>
        <w:rPr>
          <w:rFonts w:hint="eastAsia" w:ascii="仿宋_GB2312" w:hAnsi="仿宋_GB2312" w:eastAsia="仿宋_GB2312" w:cs="仿宋_GB2312"/>
          <w:color w:val="000000"/>
          <w:spacing w:val="-4"/>
          <w:kern w:val="0"/>
          <w:sz w:val="32"/>
          <w:szCs w:val="32"/>
        </w:rPr>
        <w:t>特的密封装置</w:t>
      </w:r>
    </w:p>
    <w:p w14:paraId="7B7E9BA9">
      <w:pPr>
        <w:keepNext w:val="0"/>
        <w:keepLines w:val="0"/>
        <w:pageBreakBefore w:val="0"/>
        <w:widowControl w:val="0"/>
        <w:kinsoku/>
        <w:wordWrap/>
        <w:overflowPunct/>
        <w:topLinePunct w:val="0"/>
        <w:bidi w:val="0"/>
        <w:snapToGrid/>
        <w:spacing w:line="360" w:lineRule="auto"/>
        <w:ind w:left="0" w:leftChars="0" w:right="0" w:rightChars="0" w:firstLine="624" w:firstLineChars="200"/>
        <w:textAlignment w:val="auto"/>
        <w:rPr>
          <w:rFonts w:ascii="仿宋_GB2312" w:hAnsi="仿宋_GB2312" w:eastAsia="仿宋_GB2312" w:cs="仿宋_GB2312"/>
          <w:color w:val="000000"/>
          <w:spacing w:val="-4"/>
          <w:kern w:val="0"/>
          <w:sz w:val="32"/>
          <w:szCs w:val="32"/>
        </w:rPr>
      </w:pPr>
      <w:r>
        <w:rPr>
          <w:rFonts w:hint="eastAsia" w:ascii="仿宋_GB2312" w:hAnsi="仿宋_GB2312" w:eastAsia="仿宋_GB2312" w:cs="仿宋_GB2312"/>
          <w:color w:val="000000"/>
          <w:spacing w:val="-4"/>
          <w:kern w:val="0"/>
          <w:sz w:val="32"/>
          <w:szCs w:val="32"/>
        </w:rPr>
        <w:t>采用唇口式橡胶密封加优质碳纤维盘根，并配以高铬材质的耐磨轴套，使泵长期运转</w:t>
      </w:r>
      <w:r>
        <w:rPr>
          <w:rFonts w:hint="eastAsia" w:ascii="仿宋_GB2312" w:hAnsi="仿宋_GB2312" w:eastAsia="仿宋_GB2312" w:cs="仿宋_GB2312"/>
          <w:color w:val="000000"/>
          <w:spacing w:val="-4"/>
          <w:kern w:val="0"/>
          <w:sz w:val="32"/>
          <w:szCs w:val="32"/>
          <w:lang w:eastAsia="zh-CN"/>
        </w:rPr>
        <w:t>无泄漏</w:t>
      </w:r>
      <w:r>
        <w:rPr>
          <w:rFonts w:hint="eastAsia" w:ascii="仿宋_GB2312" w:hAnsi="仿宋_GB2312" w:eastAsia="仿宋_GB2312" w:cs="仿宋_GB2312"/>
          <w:color w:val="000000"/>
          <w:spacing w:val="-4"/>
          <w:kern w:val="0"/>
          <w:sz w:val="32"/>
          <w:szCs w:val="32"/>
        </w:rPr>
        <w:t>。</w:t>
      </w:r>
    </w:p>
    <w:p w14:paraId="561DF132">
      <w:pPr>
        <w:keepNext w:val="0"/>
        <w:keepLines w:val="0"/>
        <w:pageBreakBefore w:val="0"/>
        <w:widowControl w:val="0"/>
        <w:kinsoku/>
        <w:wordWrap/>
        <w:overflowPunct/>
        <w:topLinePunct w:val="0"/>
        <w:bidi w:val="0"/>
        <w:snapToGrid/>
        <w:spacing w:line="360" w:lineRule="auto"/>
        <w:ind w:right="0" w:rightChars="0" w:firstLine="624" w:firstLineChars="200"/>
        <w:textAlignment w:val="auto"/>
        <w:rPr>
          <w:rFonts w:ascii="仿宋_GB2312" w:hAnsi="仿宋_GB2312" w:eastAsia="仿宋_GB2312" w:cs="仿宋_GB2312"/>
          <w:color w:val="000000"/>
          <w:spacing w:val="-4"/>
          <w:kern w:val="0"/>
          <w:sz w:val="32"/>
          <w:szCs w:val="32"/>
        </w:rPr>
      </w:pPr>
      <w:r>
        <w:rPr>
          <w:rFonts w:hint="eastAsia" w:ascii="仿宋_GB2312" w:hAnsi="仿宋_GB2312" w:eastAsia="仿宋_GB2312" w:cs="仿宋_GB2312"/>
          <w:color w:val="000000"/>
          <w:spacing w:val="-4"/>
          <w:kern w:val="0"/>
          <w:sz w:val="32"/>
          <w:szCs w:val="32"/>
        </w:rPr>
        <w:t>2.双叶轮泵</w:t>
      </w:r>
    </w:p>
    <w:p w14:paraId="33E4ADEB">
      <w:pPr>
        <w:keepNext w:val="0"/>
        <w:keepLines w:val="0"/>
        <w:pageBreakBefore w:val="0"/>
        <w:widowControl w:val="0"/>
        <w:kinsoku/>
        <w:wordWrap/>
        <w:overflowPunct/>
        <w:topLinePunct w:val="0"/>
        <w:bidi w:val="0"/>
        <w:snapToGrid/>
        <w:spacing w:line="360" w:lineRule="auto"/>
        <w:ind w:left="0" w:leftChars="0" w:right="0" w:rightChars="0" w:firstLine="624" w:firstLineChars="200"/>
        <w:textAlignment w:val="auto"/>
        <w:rPr>
          <w:rFonts w:ascii="仿宋_GB2312" w:hAnsi="仿宋_GB2312" w:eastAsia="仿宋_GB2312" w:cs="仿宋_GB2312"/>
          <w:color w:val="000000"/>
          <w:spacing w:val="-4"/>
          <w:kern w:val="0"/>
          <w:sz w:val="32"/>
          <w:szCs w:val="32"/>
        </w:rPr>
      </w:pPr>
      <w:r>
        <w:rPr>
          <w:rFonts w:hint="eastAsia" w:ascii="仿宋_GB2312" w:hAnsi="仿宋_GB2312" w:eastAsia="仿宋_GB2312" w:cs="仿宋_GB2312"/>
          <w:color w:val="000000"/>
          <w:spacing w:val="-4"/>
          <w:kern w:val="0"/>
          <w:sz w:val="32"/>
          <w:szCs w:val="32"/>
          <w:lang w:val="en-US" w:eastAsia="zh-CN"/>
        </w:rPr>
        <w:t>采用</w:t>
      </w:r>
      <w:r>
        <w:rPr>
          <w:rFonts w:hint="eastAsia" w:ascii="仿宋_GB2312" w:hAnsi="仿宋_GB2312" w:eastAsia="仿宋_GB2312" w:cs="仿宋_GB2312"/>
          <w:color w:val="000000"/>
          <w:spacing w:val="-4"/>
          <w:kern w:val="0"/>
          <w:sz w:val="32"/>
          <w:szCs w:val="32"/>
        </w:rPr>
        <w:t>双叶轮泵</w:t>
      </w:r>
      <w:r>
        <w:rPr>
          <w:rFonts w:hint="eastAsia" w:ascii="仿宋_GB2312" w:hAnsi="仿宋_GB2312" w:eastAsia="仿宋_GB2312" w:cs="仿宋_GB2312"/>
          <w:color w:val="000000"/>
          <w:spacing w:val="-4"/>
          <w:kern w:val="0"/>
          <w:sz w:val="32"/>
          <w:szCs w:val="32"/>
          <w:lang w:eastAsia="zh-CN"/>
        </w:rPr>
        <w:t>，</w:t>
      </w:r>
      <w:r>
        <w:rPr>
          <w:rFonts w:hint="eastAsia" w:ascii="仿宋_GB2312" w:hAnsi="仿宋_GB2312" w:eastAsia="仿宋_GB2312" w:cs="仿宋_GB2312"/>
          <w:color w:val="000000"/>
          <w:spacing w:val="-4"/>
          <w:kern w:val="0"/>
          <w:sz w:val="32"/>
          <w:szCs w:val="32"/>
        </w:rPr>
        <w:t>比单叶轮泵抗磨性更好</w:t>
      </w:r>
      <w:r>
        <w:rPr>
          <w:rFonts w:hint="eastAsia" w:ascii="仿宋_GB2312" w:hAnsi="仿宋_GB2312" w:eastAsia="仿宋_GB2312" w:cs="仿宋_GB2312"/>
          <w:color w:val="000000"/>
          <w:spacing w:val="-4"/>
          <w:kern w:val="0"/>
          <w:sz w:val="32"/>
          <w:szCs w:val="32"/>
          <w:lang w:eastAsia="zh-CN"/>
        </w:rPr>
        <w:t>，</w:t>
      </w:r>
      <w:r>
        <w:rPr>
          <w:rFonts w:hint="eastAsia" w:ascii="仿宋_GB2312" w:hAnsi="仿宋_GB2312" w:eastAsia="仿宋_GB2312" w:cs="仿宋_GB2312"/>
          <w:color w:val="000000"/>
          <w:spacing w:val="-4"/>
          <w:kern w:val="0"/>
          <w:sz w:val="32"/>
          <w:szCs w:val="32"/>
        </w:rPr>
        <w:t>使双叶轮泵有效</w:t>
      </w:r>
      <w:r>
        <w:rPr>
          <w:rFonts w:hint="eastAsia" w:ascii="仿宋_GB2312" w:hAnsi="仿宋_GB2312" w:eastAsia="仿宋_GB2312" w:cs="仿宋_GB2312"/>
          <w:color w:val="000000"/>
          <w:spacing w:val="-4"/>
          <w:kern w:val="0"/>
          <w:sz w:val="32"/>
          <w:szCs w:val="32"/>
          <w:lang w:eastAsia="zh-CN"/>
        </w:rPr>
        <w:t>地</w:t>
      </w:r>
      <w:r>
        <w:rPr>
          <w:rFonts w:hint="eastAsia" w:ascii="仿宋_GB2312" w:hAnsi="仿宋_GB2312" w:eastAsia="仿宋_GB2312" w:cs="仿宋_GB2312"/>
          <w:color w:val="000000"/>
          <w:spacing w:val="-4"/>
          <w:kern w:val="0"/>
          <w:sz w:val="32"/>
          <w:szCs w:val="32"/>
        </w:rPr>
        <w:t>提高水泵过流部件的寿命。</w:t>
      </w:r>
    </w:p>
    <w:p w14:paraId="351F28BF">
      <w:pPr>
        <w:keepNext w:val="0"/>
        <w:keepLines w:val="0"/>
        <w:pageBreakBefore w:val="0"/>
        <w:widowControl w:val="0"/>
        <w:kinsoku/>
        <w:wordWrap/>
        <w:overflowPunct/>
        <w:topLinePunct w:val="0"/>
        <w:bidi w:val="0"/>
        <w:snapToGrid/>
        <w:spacing w:line="360" w:lineRule="auto"/>
        <w:ind w:left="0" w:leftChars="0" w:right="0" w:rightChars="0" w:firstLine="624" w:firstLineChars="200"/>
        <w:textAlignment w:val="auto"/>
        <w:rPr>
          <w:rFonts w:ascii="仿宋_GB2312" w:hAnsi="仿宋_GB2312" w:eastAsia="仿宋_GB2312" w:cs="仿宋_GB2312"/>
          <w:color w:val="000000"/>
          <w:spacing w:val="-4"/>
          <w:kern w:val="0"/>
          <w:sz w:val="32"/>
          <w:szCs w:val="32"/>
        </w:rPr>
      </w:pPr>
      <w:r>
        <w:rPr>
          <w:rFonts w:hint="eastAsia" w:ascii="仿宋_GB2312" w:hAnsi="仿宋_GB2312" w:eastAsia="仿宋_GB2312" w:cs="仿宋_GB2312"/>
          <w:color w:val="000000"/>
          <w:spacing w:val="-4"/>
          <w:kern w:val="0"/>
          <w:sz w:val="32"/>
          <w:szCs w:val="32"/>
        </w:rPr>
        <w:t>3.高耐磨材质</w:t>
      </w:r>
    </w:p>
    <w:p w14:paraId="6165AAC7">
      <w:pPr>
        <w:keepNext w:val="0"/>
        <w:keepLines w:val="0"/>
        <w:pageBreakBefore w:val="0"/>
        <w:widowControl w:val="0"/>
        <w:kinsoku/>
        <w:wordWrap/>
        <w:overflowPunct/>
        <w:topLinePunct w:val="0"/>
        <w:bidi w:val="0"/>
        <w:snapToGrid/>
        <w:spacing w:line="360" w:lineRule="auto"/>
        <w:ind w:right="0" w:rightChars="0" w:firstLine="624" w:firstLineChars="200"/>
        <w:textAlignment w:val="auto"/>
        <w:rPr>
          <w:rFonts w:hint="eastAsia" w:ascii="仿宋_GB2312" w:hAnsi="仿宋_GB2312" w:eastAsia="仿宋_GB2312" w:cs="仿宋_GB2312"/>
          <w:color w:val="000000"/>
          <w:spacing w:val="-4"/>
          <w:kern w:val="0"/>
          <w:sz w:val="32"/>
          <w:szCs w:val="32"/>
          <w:lang w:val="en-US" w:eastAsia="zh-CN"/>
        </w:rPr>
      </w:pPr>
      <w:r>
        <w:rPr>
          <w:rFonts w:hint="eastAsia" w:ascii="仿宋_GB2312" w:hAnsi="仿宋_GB2312" w:eastAsia="仿宋_GB2312" w:cs="仿宋_GB2312"/>
          <w:color w:val="000000"/>
          <w:spacing w:val="-4"/>
          <w:kern w:val="0"/>
          <w:sz w:val="32"/>
          <w:szCs w:val="32"/>
        </w:rPr>
        <w:t>该型泵过流件全部采用Cr27, Cr30等高铬合金材质制造，使其在输送各类矿浆时具有优越的抗磨性。</w:t>
      </w:r>
    </w:p>
    <w:p w14:paraId="1F699DA0">
      <w:pPr>
        <w:keepNext w:val="0"/>
        <w:keepLines w:val="0"/>
        <w:pageBreakBefore w:val="0"/>
        <w:widowControl w:val="0"/>
        <w:kinsoku/>
        <w:wordWrap/>
        <w:overflowPunct/>
        <w:topLinePunct w:val="0"/>
        <w:bidi w:val="0"/>
        <w:snapToGrid/>
        <w:spacing w:line="360" w:lineRule="auto"/>
        <w:ind w:right="0" w:rightChars="0" w:firstLine="624" w:firstLineChars="200"/>
        <w:textAlignment w:val="auto"/>
        <w:rPr>
          <w:rFonts w:hint="eastAsia" w:ascii="仿宋_GB2312" w:hAnsi="仿宋_GB2312" w:eastAsia="仿宋_GB2312" w:cs="仿宋_GB2312"/>
          <w:color w:val="000000"/>
          <w:spacing w:val="-4"/>
          <w:kern w:val="0"/>
          <w:sz w:val="32"/>
          <w:szCs w:val="32"/>
          <w:lang w:val="en-US" w:eastAsia="zh-CN"/>
        </w:rPr>
      </w:pPr>
      <w:r>
        <w:rPr>
          <w:rFonts w:hint="eastAsia" w:ascii="仿宋_GB2312" w:hAnsi="仿宋_GB2312" w:eastAsia="仿宋_GB2312" w:cs="仿宋_GB2312"/>
          <w:color w:val="000000"/>
          <w:spacing w:val="-4"/>
          <w:kern w:val="0"/>
          <w:sz w:val="32"/>
          <w:szCs w:val="32"/>
          <w:lang w:val="en-US" w:eastAsia="zh-CN"/>
        </w:rPr>
        <w:t>4.泵结构先进，通用化程度高，运转可靠，安装拆卸维修方便。</w:t>
      </w:r>
    </w:p>
    <w:p w14:paraId="17BC96CB">
      <w:pPr>
        <w:keepNext w:val="0"/>
        <w:keepLines w:val="0"/>
        <w:pageBreakBefore w:val="0"/>
        <w:widowControl w:val="0"/>
        <w:kinsoku/>
        <w:wordWrap/>
        <w:overflowPunct/>
        <w:topLinePunct w:val="0"/>
        <w:bidi w:val="0"/>
        <w:snapToGrid/>
        <w:spacing w:line="360" w:lineRule="auto"/>
        <w:ind w:left="0" w:leftChars="0" w:right="0" w:rightChars="0" w:firstLine="624" w:firstLineChars="200"/>
        <w:textAlignment w:val="auto"/>
        <w:rPr>
          <w:rFonts w:hint="eastAsia" w:ascii="仿宋_GB2312" w:hAnsi="仿宋_GB2312" w:eastAsia="仿宋_GB2312" w:cs="仿宋_GB2312"/>
          <w:color w:val="000000"/>
          <w:spacing w:val="-4"/>
          <w:kern w:val="0"/>
          <w:sz w:val="32"/>
          <w:szCs w:val="32"/>
          <w:lang w:val="en-US" w:eastAsia="zh-CN"/>
        </w:rPr>
      </w:pPr>
      <w:r>
        <w:rPr>
          <w:rFonts w:hint="eastAsia" w:ascii="仿宋_GB2312" w:hAnsi="仿宋_GB2312" w:eastAsia="仿宋_GB2312" w:cs="仿宋_GB2312"/>
          <w:color w:val="000000"/>
          <w:spacing w:val="-4"/>
          <w:kern w:val="0"/>
          <w:sz w:val="32"/>
          <w:szCs w:val="32"/>
          <w:lang w:val="en-US" w:eastAsia="zh-CN"/>
        </w:rPr>
        <w:t>5.输送压力稳定，保压型好，适用于需稳定压力的压滤过滤系统。</w:t>
      </w:r>
    </w:p>
    <w:p w14:paraId="6CCACEE5">
      <w:pPr>
        <w:keepNext w:val="0"/>
        <w:keepLines w:val="0"/>
        <w:pageBreakBefore w:val="0"/>
        <w:widowControl w:val="0"/>
        <w:kinsoku/>
        <w:wordWrap/>
        <w:overflowPunct/>
        <w:topLinePunct w:val="0"/>
        <w:bidi w:val="0"/>
        <w:snapToGrid/>
        <w:spacing w:line="360" w:lineRule="auto"/>
        <w:ind w:left="0" w:leftChars="0" w:right="0" w:rightChars="0" w:firstLine="624" w:firstLineChars="200"/>
        <w:textAlignment w:val="auto"/>
        <w:rPr>
          <w:rFonts w:hint="eastAsia" w:ascii="仿宋_GB2312" w:hAnsi="仿宋_GB2312" w:eastAsia="仿宋_GB2312" w:cs="仿宋_GB2312"/>
          <w:color w:val="000000"/>
          <w:spacing w:val="-4"/>
          <w:kern w:val="0"/>
          <w:sz w:val="32"/>
          <w:szCs w:val="32"/>
          <w:lang w:val="en-US" w:eastAsia="zh-CN"/>
        </w:rPr>
      </w:pPr>
      <w:r>
        <w:rPr>
          <w:rFonts w:hint="eastAsia" w:ascii="仿宋_GB2312" w:hAnsi="仿宋_GB2312" w:eastAsia="仿宋_GB2312" w:cs="仿宋_GB2312"/>
          <w:color w:val="000000"/>
          <w:spacing w:val="-4"/>
          <w:kern w:val="0"/>
          <w:sz w:val="32"/>
          <w:szCs w:val="32"/>
          <w:lang w:val="en-US" w:eastAsia="zh-CN"/>
        </w:rPr>
        <w:t>6.结构简单，性能可靠，维护方便，使用寿命长。</w:t>
      </w:r>
    </w:p>
    <w:p w14:paraId="233FD23E">
      <w:pPr>
        <w:keepNext w:val="0"/>
        <w:keepLines w:val="0"/>
        <w:pageBreakBefore w:val="0"/>
        <w:widowControl w:val="0"/>
        <w:kinsoku/>
        <w:wordWrap/>
        <w:overflowPunct/>
        <w:topLinePunct w:val="0"/>
        <w:bidi w:val="0"/>
        <w:snapToGrid/>
        <w:spacing w:line="360" w:lineRule="auto"/>
        <w:ind w:left="0" w:leftChars="0" w:right="0" w:rightChars="0" w:firstLine="624" w:firstLineChars="200"/>
        <w:textAlignment w:val="auto"/>
        <w:rPr>
          <w:rFonts w:hint="eastAsia" w:ascii="仿宋_GB2312" w:hAnsi="仿宋_GB2312" w:eastAsia="仿宋_GB2312" w:cs="仿宋_GB2312"/>
          <w:color w:val="000000"/>
          <w:spacing w:val="-4"/>
          <w:kern w:val="0"/>
          <w:sz w:val="32"/>
          <w:szCs w:val="32"/>
          <w:lang w:val="en-US" w:eastAsia="zh-CN"/>
        </w:rPr>
      </w:pPr>
      <w:r>
        <w:rPr>
          <w:rFonts w:hint="eastAsia" w:ascii="仿宋_GB2312" w:hAnsi="仿宋_GB2312" w:eastAsia="仿宋_GB2312" w:cs="仿宋_GB2312"/>
          <w:color w:val="000000"/>
          <w:spacing w:val="-4"/>
          <w:kern w:val="0"/>
          <w:sz w:val="32"/>
          <w:szCs w:val="32"/>
          <w:lang w:val="en-US" w:eastAsia="zh-CN"/>
        </w:rPr>
        <w:t>7.轴封为高分子复合材料高铬合金套填料双端面机械密封。</w:t>
      </w:r>
    </w:p>
    <w:p w14:paraId="42C59E5E">
      <w:pPr>
        <w:keepNext w:val="0"/>
        <w:keepLines w:val="0"/>
        <w:pageBreakBefore w:val="0"/>
        <w:widowControl w:val="0"/>
        <w:kinsoku/>
        <w:wordWrap/>
        <w:overflowPunct/>
        <w:topLinePunct w:val="0"/>
        <w:bidi w:val="0"/>
        <w:snapToGrid/>
        <w:spacing w:line="360" w:lineRule="auto"/>
        <w:ind w:left="0" w:leftChars="0" w:right="0" w:rightChars="0" w:firstLine="624" w:firstLineChars="200"/>
        <w:textAlignment w:val="auto"/>
        <w:rPr>
          <w:rFonts w:hint="eastAsia" w:ascii="仿宋_GB2312" w:hAnsi="仿宋_GB2312" w:eastAsia="仿宋_GB2312" w:cs="仿宋_GB2312"/>
          <w:color w:val="000000"/>
          <w:spacing w:val="-4"/>
          <w:kern w:val="0"/>
          <w:sz w:val="32"/>
          <w:szCs w:val="32"/>
          <w:lang w:val="en-US" w:eastAsia="zh-CN"/>
        </w:rPr>
      </w:pPr>
      <w:r>
        <w:rPr>
          <w:rFonts w:hint="eastAsia" w:ascii="仿宋_GB2312" w:hAnsi="仿宋_GB2312" w:eastAsia="仿宋_GB2312" w:cs="仿宋_GB2312"/>
          <w:color w:val="000000"/>
          <w:spacing w:val="-4"/>
          <w:kern w:val="0"/>
          <w:sz w:val="32"/>
          <w:szCs w:val="32"/>
          <w:lang w:val="en-US" w:eastAsia="zh-CN"/>
        </w:rPr>
        <w:t>8.闭式叶轮，适用于要求提供稳定泵送压力的压滤脱水机的动力配套设备，泵送的固体颗粒度变化不大的介质。</w:t>
      </w:r>
    </w:p>
    <w:p w14:paraId="01BA5F36">
      <w:pPr>
        <w:keepNext w:val="0"/>
        <w:keepLines w:val="0"/>
        <w:pageBreakBefore w:val="0"/>
        <w:widowControl w:val="0"/>
        <w:kinsoku/>
        <w:wordWrap/>
        <w:overflowPunct/>
        <w:topLinePunct w:val="0"/>
        <w:bidi w:val="0"/>
        <w:snapToGrid/>
        <w:spacing w:line="360" w:lineRule="auto"/>
        <w:ind w:left="0" w:leftChars="0" w:right="0" w:rightChars="0" w:firstLine="624" w:firstLineChars="200"/>
        <w:textAlignment w:val="auto"/>
        <w:rPr>
          <w:rFonts w:hint="eastAsia" w:ascii="仿宋_GB2312" w:hAnsi="仿宋_GB2312" w:eastAsia="仿宋_GB2312" w:cs="仿宋_GB2312"/>
          <w:color w:val="000000"/>
          <w:spacing w:val="-4"/>
          <w:kern w:val="0"/>
          <w:sz w:val="32"/>
          <w:szCs w:val="32"/>
          <w:lang w:val="en-US" w:eastAsia="zh-CN"/>
        </w:rPr>
      </w:pPr>
      <w:r>
        <w:rPr>
          <w:rFonts w:hint="eastAsia" w:ascii="仿宋_GB2312" w:hAnsi="仿宋_GB2312" w:eastAsia="仿宋_GB2312" w:cs="仿宋_GB2312"/>
          <w:color w:val="000000"/>
          <w:spacing w:val="-4"/>
          <w:kern w:val="0"/>
          <w:sz w:val="32"/>
          <w:szCs w:val="32"/>
          <w:lang w:val="en-US" w:eastAsia="zh-CN"/>
        </w:rPr>
        <w:t>9.泵叶轮和轴为键连接，拆装方便。</w:t>
      </w:r>
    </w:p>
    <w:p w14:paraId="1BE44924">
      <w:pPr>
        <w:keepNext w:val="0"/>
        <w:keepLines w:val="0"/>
        <w:pageBreakBefore w:val="0"/>
        <w:widowControl w:val="0"/>
        <w:kinsoku/>
        <w:wordWrap/>
        <w:overflowPunct/>
        <w:topLinePunct w:val="0"/>
        <w:bidi w:val="0"/>
        <w:snapToGrid/>
        <w:spacing w:line="360" w:lineRule="auto"/>
        <w:ind w:left="0" w:leftChars="0" w:right="0" w:rightChars="0" w:firstLine="624" w:firstLineChars="200"/>
        <w:textAlignment w:val="auto"/>
        <w:rPr>
          <w:rFonts w:hint="eastAsia" w:ascii="仿宋_GB2312" w:hAnsi="仿宋_GB2312" w:eastAsia="仿宋_GB2312" w:cs="仿宋_GB2312"/>
          <w:color w:val="000000"/>
          <w:spacing w:val="-4"/>
          <w:kern w:val="0"/>
          <w:sz w:val="32"/>
          <w:szCs w:val="32"/>
          <w:lang w:val="en-US" w:eastAsia="zh-CN"/>
        </w:rPr>
      </w:pPr>
      <w:r>
        <w:rPr>
          <w:rFonts w:hint="eastAsia" w:ascii="仿宋_GB2312" w:hAnsi="仿宋_GB2312" w:eastAsia="仿宋_GB2312" w:cs="仿宋_GB2312"/>
          <w:color w:val="000000"/>
          <w:spacing w:val="-4"/>
          <w:kern w:val="0"/>
          <w:sz w:val="32"/>
          <w:szCs w:val="32"/>
          <w:lang w:val="en-US" w:eastAsia="zh-CN"/>
        </w:rPr>
        <w:t>10.泵轴直径大、刚性好，在恶劣的工况下也不会弯曲变形和振动。</w:t>
      </w:r>
    </w:p>
    <w:p w14:paraId="798C8DD5">
      <w:pPr>
        <w:keepNext w:val="0"/>
        <w:keepLines w:val="0"/>
        <w:pageBreakBefore w:val="0"/>
        <w:widowControl w:val="0"/>
        <w:kinsoku/>
        <w:wordWrap/>
        <w:overflowPunct/>
        <w:topLinePunct w:val="0"/>
        <w:bidi w:val="0"/>
        <w:snapToGrid/>
        <w:spacing w:line="360" w:lineRule="auto"/>
        <w:ind w:left="0" w:leftChars="0" w:right="0" w:rightChars="0" w:firstLine="624" w:firstLineChars="200"/>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color w:val="000000"/>
          <w:spacing w:val="-4"/>
          <w:kern w:val="0"/>
          <w:sz w:val="32"/>
          <w:szCs w:val="32"/>
          <w:lang w:val="en-US" w:eastAsia="zh-CN"/>
        </w:rPr>
        <w:t>11.泵物料为倒灌式自吸方式，适合浓度变化大的物料与压滤设备的配套使用（物料浓度＜25%）。</w:t>
      </w:r>
    </w:p>
    <w:p w14:paraId="25BF6C6E">
      <w:pPr>
        <w:pStyle w:val="4"/>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ascii="黑体" w:hAnsi="黑体" w:eastAsia="黑体" w:cs="仿宋_GB2312"/>
          <w:bCs/>
          <w:color w:val="FF0000"/>
          <w:sz w:val="32"/>
          <w:szCs w:val="32"/>
        </w:rPr>
      </w:pPr>
      <w:r>
        <w:rPr>
          <w:rFonts w:hint="eastAsia" w:ascii="黑体" w:hAnsi="黑体" w:eastAsia="黑体" w:cs="仿宋_GB2312"/>
          <w:bCs/>
          <w:color w:val="auto"/>
          <w:sz w:val="32"/>
          <w:szCs w:val="32"/>
        </w:rPr>
        <w:t>五、交货随行文件要求</w:t>
      </w:r>
    </w:p>
    <w:p w14:paraId="20ACF1E1">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1.成交供应商按规定给采购人提供详细的、正确的维护、维修技术资料，包括印刷版和电子版的各种图纸、设备使用手册、维修手册、备件手册。</w:t>
      </w:r>
    </w:p>
    <w:p w14:paraId="1C928189">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2.成交供应商按规定给采购人每台（套）设备提供</w:t>
      </w:r>
      <w:r>
        <w:rPr>
          <w:rFonts w:hint="eastAsia" w:ascii="仿宋_GB2312" w:hAnsi="仿宋_GB2312" w:eastAsia="仿宋_GB2312" w:cs="仿宋_GB2312"/>
          <w:spacing w:val="-4"/>
          <w:sz w:val="32"/>
          <w:szCs w:val="32"/>
          <w:u w:val="single"/>
        </w:rPr>
        <w:t>2</w:t>
      </w:r>
      <w:r>
        <w:rPr>
          <w:rFonts w:hint="eastAsia" w:ascii="仿宋_GB2312" w:hAnsi="仿宋_GB2312" w:eastAsia="仿宋_GB2312" w:cs="仿宋_GB2312"/>
          <w:spacing w:val="-4"/>
          <w:sz w:val="32"/>
          <w:szCs w:val="32"/>
        </w:rPr>
        <w:t>份技术文件副本。采购人有权针对培训目的而额外复制所提供的技术文件。</w:t>
      </w:r>
    </w:p>
    <w:p w14:paraId="619DC821">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3.如果成交供应商交付的技术文件不完整、丢失或损坏，成交供应商在接到采购人索要不完整、丢失或损坏部分的技术文件的通知后的30天内,应免费向采购人增补丢失或损坏部分的技术文件。</w:t>
      </w:r>
    </w:p>
    <w:p w14:paraId="3855DAB5">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lang w:val="en-US" w:eastAsia="zh-CN"/>
        </w:rPr>
        <w:t>4</w:t>
      </w:r>
      <w:r>
        <w:rPr>
          <w:rFonts w:hint="eastAsia" w:ascii="仿宋_GB2312" w:hAnsi="仿宋_GB2312" w:eastAsia="仿宋_GB2312" w:cs="仿宋_GB2312"/>
          <w:spacing w:val="-4"/>
          <w:sz w:val="32"/>
          <w:szCs w:val="32"/>
        </w:rPr>
        <w:t>.成交供应商定期对设备进行回访，并对用户提出的问题进行解决。</w:t>
      </w:r>
    </w:p>
    <w:p w14:paraId="18820961">
      <w:pPr>
        <w:pStyle w:val="4"/>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黑体" w:hAnsi="黑体" w:eastAsia="黑体" w:cs="仿宋_GB2312"/>
          <w:bCs/>
          <w:color w:val="auto"/>
          <w:sz w:val="32"/>
          <w:szCs w:val="32"/>
        </w:rPr>
      </w:pPr>
      <w:r>
        <w:rPr>
          <w:rFonts w:hint="eastAsia" w:ascii="黑体" w:hAnsi="黑体" w:eastAsia="黑体" w:cs="仿宋_GB2312"/>
          <w:bCs/>
          <w:color w:val="auto"/>
          <w:sz w:val="32"/>
          <w:szCs w:val="32"/>
        </w:rPr>
        <w:t>六、质量保证要求</w:t>
      </w:r>
    </w:p>
    <w:p w14:paraId="19668822">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1.提供全套设备保证是全新的、成熟的、完整和安全可靠的设备。</w:t>
      </w:r>
    </w:p>
    <w:p w14:paraId="639DF43D">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2.质保期为自设备验收合格并投入使用之日起12个月或自设备验收合格之日起18个月，二者以先届满期限为准。对由于设计或质量问题而引起的设备故障，成交供应商应进一步对此负责。合同条款对质保有特殊规定的从其规定。</w:t>
      </w:r>
    </w:p>
    <w:p w14:paraId="298B2E8A">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3.设备质保期内对于出现的相关质量问题负责处理，成交供应商维修人员应在24小时内到达需方现场，尽快排除故障，使设备恢复正常使用，产生的费用由成交供应商负责。</w:t>
      </w:r>
    </w:p>
    <w:p w14:paraId="6FA9348E">
      <w:pPr>
        <w:pStyle w:val="4"/>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黑体" w:hAnsi="黑体" w:eastAsia="黑体" w:cs="仿宋_GB2312"/>
          <w:bCs/>
          <w:color w:val="auto"/>
          <w:sz w:val="32"/>
          <w:szCs w:val="32"/>
        </w:rPr>
      </w:pPr>
      <w:r>
        <w:rPr>
          <w:rFonts w:hint="eastAsia" w:ascii="黑体" w:hAnsi="黑体" w:eastAsia="黑体" w:cs="仿宋_GB2312"/>
          <w:bCs/>
          <w:color w:val="auto"/>
          <w:sz w:val="32"/>
          <w:szCs w:val="32"/>
        </w:rPr>
        <w:t>七、技术服务</w:t>
      </w:r>
    </w:p>
    <w:p w14:paraId="523D6BC7">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1.成交供应商应派出有技术、有能力胜任的服务工程师到现场，提供有关安装、调试、空载测试、性能测试、试运转、维修及现场培训维修人员的服务。成交供应商服务工程师的主要责任与任务如下：</w:t>
      </w:r>
    </w:p>
    <w:p w14:paraId="550C8FD4">
      <w:pPr>
        <w:pStyle w:val="4"/>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——给采购人安装人员提供完整的技术指导；</w:t>
      </w:r>
    </w:p>
    <w:p w14:paraId="152CAA34">
      <w:pPr>
        <w:pStyle w:val="4"/>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——指导采购人进行合同设备的试运转，运行测试和性能测试；</w:t>
      </w:r>
    </w:p>
    <w:p w14:paraId="490B98A7">
      <w:pPr>
        <w:pStyle w:val="4"/>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——现场培训采购人人员；</w:t>
      </w:r>
    </w:p>
    <w:p w14:paraId="52F0E23F">
      <w:pPr>
        <w:pStyle w:val="4"/>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——设备投入使用后提供现场运行技术支持；</w:t>
      </w:r>
    </w:p>
    <w:p w14:paraId="33AD1D5A">
      <w:pPr>
        <w:pStyle w:val="4"/>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——质保期内技术服务。</w:t>
      </w:r>
    </w:p>
    <w:p w14:paraId="0C9BB890">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2.安装前，应由成交供应商给予采购人提供合同设备的装配介绍、培训；详细解释技术文件、图纸和操作手册以及设备运行和相关的预防措施等；回答和解决采购人提出的技术问题。成交供应商的指导必须是正确的，如果出现由于非正确技术指导而造成的损失，成交供应商将自出资金维修、更换或补偿损失部分。</w:t>
      </w:r>
    </w:p>
    <w:p w14:paraId="797B4E8E">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3.成交供应商应提供所有的关于装配与组装所用的专用工具</w:t>
      </w:r>
      <w:r>
        <w:rPr>
          <w:rFonts w:hint="eastAsia" w:ascii="仿宋_GB2312" w:hAnsi="仿宋_GB2312" w:eastAsia="仿宋_GB2312" w:cs="仿宋_GB2312"/>
          <w:spacing w:val="-4"/>
          <w:sz w:val="32"/>
          <w:szCs w:val="32"/>
        </w:rPr>
        <w:t>,没有无需提供</w:t>
      </w:r>
      <w:r>
        <w:rPr>
          <w:rFonts w:ascii="仿宋_GB2312" w:hAnsi="仿宋_GB2312" w:eastAsia="仿宋_GB2312" w:cs="仿宋_GB2312"/>
          <w:spacing w:val="-4"/>
          <w:sz w:val="32"/>
          <w:szCs w:val="32"/>
        </w:rPr>
        <w:t>。</w:t>
      </w:r>
    </w:p>
    <w:p w14:paraId="12E71585">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4.对于安装指导、测试运转、性能测试、试运转和验收，包括采购人操作和维修人员的现场培训,成交供应商需免费提供。</w:t>
      </w:r>
    </w:p>
    <w:p w14:paraId="2F99F952">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5.成交供应商应提供用于采购人自行培训人员需要使用的相关培训资料。</w:t>
      </w:r>
    </w:p>
    <w:p w14:paraId="0076BBD6">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6.设备过质保期后，在设备使用寿命内，如采购人需要，成交供应商应能够及时到现场进行技术服务。</w:t>
      </w:r>
    </w:p>
    <w:p w14:paraId="1A052F32">
      <w:pPr>
        <w:pStyle w:val="4"/>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黑体" w:hAnsi="黑体" w:eastAsia="黑体" w:cs="仿宋_GB2312"/>
          <w:bCs/>
          <w:color w:val="auto"/>
          <w:sz w:val="32"/>
          <w:szCs w:val="32"/>
        </w:rPr>
      </w:pPr>
      <w:r>
        <w:rPr>
          <w:rFonts w:hint="eastAsia" w:ascii="黑体" w:hAnsi="黑体" w:eastAsia="黑体" w:cs="仿宋_GB2312"/>
          <w:bCs/>
          <w:color w:val="auto"/>
          <w:sz w:val="32"/>
          <w:szCs w:val="32"/>
        </w:rPr>
        <w:t>八、包装要求</w:t>
      </w:r>
    </w:p>
    <w:p w14:paraId="57FB874C">
      <w:pPr>
        <w:pStyle w:val="4"/>
        <w:keepNext w:val="0"/>
        <w:keepLines w:val="0"/>
        <w:pageBreakBefore w:val="0"/>
        <w:widowControl w:val="0"/>
        <w:kinsoku/>
        <w:wordWrap/>
        <w:overflowPunct/>
        <w:topLinePunct w:val="0"/>
        <w:bidi w:val="0"/>
        <w:snapToGrid/>
        <w:spacing w:line="360" w:lineRule="auto"/>
        <w:ind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（一）包装总体要求</w:t>
      </w:r>
    </w:p>
    <w:p w14:paraId="58CA022C">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1.所有产品须采用防潮、防尘、防震、防锈、防压包装，确保正常储运、装卸过</w:t>
      </w:r>
      <w:r>
        <w:rPr>
          <w:rFonts w:hint="eastAsia" w:ascii="仿宋_GB2312" w:hAnsi="仿宋_GB2312" w:eastAsia="仿宋_GB2312" w:cs="仿宋_GB2312"/>
          <w:spacing w:val="-4"/>
          <w:sz w:val="32"/>
          <w:szCs w:val="32"/>
          <w:lang w:eastAsia="zh-CN"/>
        </w:rPr>
        <w:t>程中</w:t>
      </w:r>
      <w:r>
        <w:rPr>
          <w:rFonts w:hint="eastAsia" w:ascii="仿宋_GB2312" w:hAnsi="仿宋_GB2312" w:eastAsia="仿宋_GB2312" w:cs="仿宋_GB2312"/>
          <w:spacing w:val="-4"/>
          <w:sz w:val="32"/>
          <w:szCs w:val="32"/>
        </w:rPr>
        <w:t>不损坏、不变形、不锈蚀、不进水。</w:t>
      </w:r>
    </w:p>
    <w:p w14:paraId="46CCD636">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2.包装材质环保、无异味、无污染，符合国家及行业环保包装标准。</w:t>
      </w:r>
    </w:p>
    <w:p w14:paraId="1D93F6E4">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3.包装结构牢固，适合常规运输及多层堆码。</w:t>
      </w:r>
    </w:p>
    <w:p w14:paraId="3627A72F">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4.每件包装规格统一、装箱整齐、固定可靠，内部不得松动、窜动。</w:t>
      </w:r>
    </w:p>
    <w:p w14:paraId="5CC5157B">
      <w:pPr>
        <w:pStyle w:val="4"/>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黑体" w:hAnsi="黑体" w:eastAsia="黑体" w:cs="仿宋_GB2312"/>
          <w:bCs/>
          <w:color w:val="auto"/>
          <w:sz w:val="32"/>
          <w:szCs w:val="32"/>
        </w:rPr>
      </w:pPr>
      <w:r>
        <w:rPr>
          <w:rFonts w:hint="eastAsia" w:ascii="黑体" w:hAnsi="黑体" w:eastAsia="黑体" w:cs="仿宋_GB2312"/>
          <w:bCs/>
          <w:color w:val="auto"/>
          <w:sz w:val="32"/>
          <w:szCs w:val="32"/>
        </w:rPr>
        <w:t>九、交货时间及交货地点</w:t>
      </w:r>
    </w:p>
    <w:p w14:paraId="38360100">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交货期：合同签订生效后</w:t>
      </w:r>
      <w:r>
        <w:rPr>
          <w:rFonts w:hint="eastAsia" w:ascii="仿宋_GB2312" w:hAnsi="仿宋_GB2312" w:eastAsia="仿宋_GB2312" w:cs="仿宋_GB2312"/>
          <w:spacing w:val="-4"/>
          <w:sz w:val="32"/>
          <w:szCs w:val="32"/>
          <w:u w:val="single"/>
          <w:lang w:val="en-US" w:eastAsia="zh-CN"/>
        </w:rPr>
        <w:t>60</w:t>
      </w:r>
      <w:r>
        <w:rPr>
          <w:rFonts w:hint="eastAsia" w:ascii="仿宋_GB2312" w:hAnsi="仿宋_GB2312" w:eastAsia="仿宋_GB2312" w:cs="仿宋_GB2312"/>
          <w:spacing w:val="-4"/>
          <w:sz w:val="32"/>
          <w:szCs w:val="32"/>
        </w:rPr>
        <w:t>天内到货。</w:t>
      </w:r>
    </w:p>
    <w:p w14:paraId="4023C045">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交货地点：免运费送至</w:t>
      </w:r>
      <w:r>
        <w:rPr>
          <w:rFonts w:hint="eastAsia" w:ascii="仿宋_GB2312" w:hAnsi="仿宋_GB2312" w:eastAsia="仿宋_GB2312" w:cs="仿宋_GB2312"/>
          <w:spacing w:val="-4"/>
          <w:sz w:val="32"/>
          <w:szCs w:val="32"/>
          <w:lang w:val="en-US" w:eastAsia="zh-CN"/>
        </w:rPr>
        <w:t>袁店一井煤矿设备库</w:t>
      </w:r>
      <w:r>
        <w:rPr>
          <w:rFonts w:hint="eastAsia" w:ascii="仿宋_GB2312" w:hAnsi="仿宋_GB2312" w:eastAsia="仿宋_GB2312" w:cs="仿宋_GB2312"/>
          <w:spacing w:val="-4"/>
          <w:sz w:val="32"/>
          <w:szCs w:val="32"/>
        </w:rPr>
        <w:t>。</w:t>
      </w:r>
    </w:p>
    <w:p w14:paraId="134162C0">
      <w:pPr>
        <w:pStyle w:val="4"/>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黑体" w:hAnsi="黑体" w:eastAsia="黑体" w:cs="仿宋_GB2312"/>
          <w:bCs/>
          <w:color w:val="auto"/>
          <w:sz w:val="32"/>
          <w:szCs w:val="32"/>
        </w:rPr>
      </w:pPr>
      <w:r>
        <w:rPr>
          <w:rFonts w:hint="eastAsia" w:ascii="黑体" w:hAnsi="黑体" w:eastAsia="黑体" w:cs="仿宋_GB2312"/>
          <w:bCs/>
          <w:color w:val="auto"/>
          <w:sz w:val="32"/>
          <w:szCs w:val="32"/>
        </w:rPr>
        <w:t>十、设备出厂前检验</w:t>
      </w:r>
    </w:p>
    <w:p w14:paraId="183546C3">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1.为了对合同设备及其相关设备生产期间的质量检验，采购人有权派人到成交供应商所在工厂进行检验。为便于采购人质检要求，诸如必要的安全用具、办公用品、技术文件和图纸、核算数据、制造和检验标准及其它必备的检验数据应由成交供应商免费提供。</w:t>
      </w:r>
    </w:p>
    <w:p w14:paraId="22DE0321">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2.在制造期间采购人的一切监理和质检活动所形成的书面资料均不作为成交供应商产品质量证明文件。在交货前采购人的质检，既不能免去合同中属于供货商质量担保期范围内的责任，也不能替代设备抵运采购人现场的质量检验。</w:t>
      </w:r>
    </w:p>
    <w:p w14:paraId="25A3A5A7">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3.采购人有权在设备制造和装货前后任何时间进行监督检查和测试。设备在出厂前必须进行试运转，根据试运转时间通知采购人进行现场检验。当采购人不参加设备项检验时，不能解除成交供应商对于产品质量的责任。</w:t>
      </w:r>
    </w:p>
    <w:p w14:paraId="0B74A26E">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4.在设备到达采购人现场后组装试运转中如出现问题，原因是成交供应商没有在出厂前进行设备整体联合试运转，因此推迟的时间将按照推迟交货期来计算。</w:t>
      </w:r>
    </w:p>
    <w:p w14:paraId="7F87E76C">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5.提供国家及相关行业技术标准要求提供出厂的试验报告。</w:t>
      </w:r>
    </w:p>
    <w:p w14:paraId="0D29E020">
      <w:pPr>
        <w:pStyle w:val="4"/>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黑体" w:hAnsi="黑体" w:eastAsia="黑体" w:cs="仿宋_GB2312"/>
          <w:bCs/>
          <w:color w:val="auto"/>
          <w:sz w:val="32"/>
          <w:szCs w:val="32"/>
        </w:rPr>
      </w:pPr>
      <w:r>
        <w:rPr>
          <w:rFonts w:hint="eastAsia" w:ascii="黑体" w:hAnsi="黑体" w:eastAsia="黑体" w:cs="仿宋_GB2312"/>
          <w:bCs/>
          <w:color w:val="auto"/>
          <w:sz w:val="32"/>
          <w:szCs w:val="32"/>
        </w:rPr>
        <w:t>十一、验收</w:t>
      </w:r>
    </w:p>
    <w:p w14:paraId="099ABB09">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1.设备到货应随机提供出厂检验报告(合格证)等相关资证</w:t>
      </w:r>
      <w:r>
        <w:rPr>
          <w:rFonts w:hint="eastAsia" w:ascii="仿宋_GB2312" w:hAnsi="仿宋_GB2312" w:eastAsia="仿宋_GB2312" w:cs="仿宋_GB2312"/>
          <w:spacing w:val="-4"/>
          <w:sz w:val="32"/>
          <w:szCs w:val="32"/>
        </w:rPr>
        <w:t>。</w:t>
      </w:r>
    </w:p>
    <w:p w14:paraId="707AC09F">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2.验收方式：</w:t>
      </w:r>
    </w:p>
    <w:p w14:paraId="734AAC53">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2.1到货验收：该设备送至采购人要求的地点，资证、数量、配置等符合采购合同、技术协议、采购文件等要求后办理验收。</w:t>
      </w:r>
    </w:p>
    <w:p w14:paraId="5AB3B500">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2.2到厂验收：成交供应商在设备在出厂前通知采购人，现场检验设备试运转情况，双方对设备配置、性能等进行鉴定，符合采购合同、技术协议、采购文件等要求后方可发货。货到后履行到货验收程序。</w:t>
      </w:r>
    </w:p>
    <w:p w14:paraId="441E7E4F">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2.3测试后验收：设备完成到货验收后，成交供应商与业主单位相关人员在空载条件下测试该设备，无异常情况办理验收。</w:t>
      </w:r>
    </w:p>
    <w:p w14:paraId="6466DE51">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2.4运转后验收：设备完成到货验收后，成交供应商与业主单位相关人员在使用现场调试该设备，所有技术性能指标符合采购合同、技术协议、采购文件等要求并正常运转后办理验收。</w:t>
      </w:r>
    </w:p>
    <w:p w14:paraId="3D7D6CD0">
      <w:pPr>
        <w:pStyle w:val="4"/>
        <w:keepNext w:val="0"/>
        <w:keepLines w:val="0"/>
        <w:pageBreakBefore w:val="0"/>
        <w:widowControl w:val="0"/>
        <w:kinsoku/>
        <w:wordWrap/>
        <w:overflowPunct/>
        <w:topLinePunct w:val="0"/>
        <w:bidi w:val="0"/>
        <w:snapToGrid/>
        <w:spacing w:line="360" w:lineRule="auto"/>
        <w:ind w:left="0" w:leftChars="0" w:right="0" w:rightChars="0" w:firstLine="624" w:firstLineChars="200"/>
        <w:jc w:val="both"/>
        <w:textAlignment w:val="auto"/>
        <w:rPr>
          <w:rFonts w:ascii="仿宋_GB2312" w:hAnsi="仿宋_GB2312" w:eastAsia="仿宋_GB2312" w:cs="仿宋_GB2312"/>
          <w:spacing w:val="-4"/>
          <w:sz w:val="32"/>
          <w:szCs w:val="32"/>
        </w:rPr>
      </w:pPr>
      <w:r>
        <w:rPr>
          <w:rFonts w:ascii="仿宋_GB2312" w:hAnsi="仿宋_GB2312" w:eastAsia="仿宋_GB2312" w:cs="仿宋_GB2312"/>
          <w:spacing w:val="-4"/>
          <w:sz w:val="32"/>
          <w:szCs w:val="32"/>
        </w:rPr>
        <w:t>3.本项目采用</w:t>
      </w:r>
      <w:r>
        <w:rPr>
          <w:rFonts w:hint="eastAsia" w:ascii="仿宋_GB2312" w:hAnsi="仿宋_GB2312" w:eastAsia="仿宋_GB2312" w:cs="仿宋_GB2312"/>
          <w:spacing w:val="-4"/>
          <w:sz w:val="32"/>
          <w:szCs w:val="32"/>
          <w:lang w:val="en-US" w:eastAsia="zh-CN"/>
        </w:rPr>
        <w:t>到货后现场验货</w:t>
      </w:r>
      <w:r>
        <w:rPr>
          <w:rFonts w:ascii="仿宋_GB2312" w:hAnsi="仿宋_GB2312" w:eastAsia="仿宋_GB2312" w:cs="仿宋_GB2312"/>
          <w:spacing w:val="-4"/>
          <w:sz w:val="32"/>
          <w:szCs w:val="32"/>
        </w:rPr>
        <w:t>方式验收。</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D12663"/>
    <w:rsid w:val="000365BC"/>
    <w:rsid w:val="00232AD1"/>
    <w:rsid w:val="00294292"/>
    <w:rsid w:val="004415F0"/>
    <w:rsid w:val="004830B9"/>
    <w:rsid w:val="00551AA9"/>
    <w:rsid w:val="005E3B39"/>
    <w:rsid w:val="00635AF8"/>
    <w:rsid w:val="00645AA9"/>
    <w:rsid w:val="006D0143"/>
    <w:rsid w:val="006D145C"/>
    <w:rsid w:val="007633F6"/>
    <w:rsid w:val="008360C4"/>
    <w:rsid w:val="00880B5F"/>
    <w:rsid w:val="00A67738"/>
    <w:rsid w:val="00AE268E"/>
    <w:rsid w:val="00AF5D58"/>
    <w:rsid w:val="00B47161"/>
    <w:rsid w:val="00B55593"/>
    <w:rsid w:val="00BF6590"/>
    <w:rsid w:val="00C467ED"/>
    <w:rsid w:val="00C9063C"/>
    <w:rsid w:val="00CB2D63"/>
    <w:rsid w:val="00CD54DD"/>
    <w:rsid w:val="00DF25F4"/>
    <w:rsid w:val="00E55CDF"/>
    <w:rsid w:val="00ED0EFC"/>
    <w:rsid w:val="00EE52F6"/>
    <w:rsid w:val="02997A01"/>
    <w:rsid w:val="02D12663"/>
    <w:rsid w:val="035824D2"/>
    <w:rsid w:val="03957C1F"/>
    <w:rsid w:val="057D7AE2"/>
    <w:rsid w:val="05976809"/>
    <w:rsid w:val="07D72EEC"/>
    <w:rsid w:val="0911245E"/>
    <w:rsid w:val="09965D4B"/>
    <w:rsid w:val="0A6A2FF9"/>
    <w:rsid w:val="0C4D7C21"/>
    <w:rsid w:val="0F8A3CBD"/>
    <w:rsid w:val="10D57C39"/>
    <w:rsid w:val="10D63B0B"/>
    <w:rsid w:val="111B6540"/>
    <w:rsid w:val="123C798B"/>
    <w:rsid w:val="15FF3D3A"/>
    <w:rsid w:val="16A86180"/>
    <w:rsid w:val="1767428D"/>
    <w:rsid w:val="17B521EA"/>
    <w:rsid w:val="18EE0096"/>
    <w:rsid w:val="1B786361"/>
    <w:rsid w:val="1C3D5072"/>
    <w:rsid w:val="1CEA46A0"/>
    <w:rsid w:val="1DA92872"/>
    <w:rsid w:val="1E854FF8"/>
    <w:rsid w:val="222D03F4"/>
    <w:rsid w:val="223B31BA"/>
    <w:rsid w:val="24BC729A"/>
    <w:rsid w:val="257C4BCC"/>
    <w:rsid w:val="294D33F3"/>
    <w:rsid w:val="299E76A1"/>
    <w:rsid w:val="2A7C519C"/>
    <w:rsid w:val="2C1125BB"/>
    <w:rsid w:val="31C816DA"/>
    <w:rsid w:val="331D020F"/>
    <w:rsid w:val="35BA2761"/>
    <w:rsid w:val="37955E55"/>
    <w:rsid w:val="38C63E93"/>
    <w:rsid w:val="39816DDB"/>
    <w:rsid w:val="3A173499"/>
    <w:rsid w:val="3BFC12F7"/>
    <w:rsid w:val="3D1E069A"/>
    <w:rsid w:val="3F4B73C8"/>
    <w:rsid w:val="3F91126E"/>
    <w:rsid w:val="41D659E7"/>
    <w:rsid w:val="42576A10"/>
    <w:rsid w:val="44245F23"/>
    <w:rsid w:val="44BE7E56"/>
    <w:rsid w:val="471548BC"/>
    <w:rsid w:val="48335DA7"/>
    <w:rsid w:val="48AB197C"/>
    <w:rsid w:val="4B80538A"/>
    <w:rsid w:val="4B897627"/>
    <w:rsid w:val="4C0F2222"/>
    <w:rsid w:val="4CD8722A"/>
    <w:rsid w:val="4D5345F6"/>
    <w:rsid w:val="4DB55181"/>
    <w:rsid w:val="4E9371EB"/>
    <w:rsid w:val="51FE0D6E"/>
    <w:rsid w:val="520272ED"/>
    <w:rsid w:val="53CB78F9"/>
    <w:rsid w:val="54C05F9B"/>
    <w:rsid w:val="577275C6"/>
    <w:rsid w:val="58A72B0D"/>
    <w:rsid w:val="597B628B"/>
    <w:rsid w:val="5A4612CE"/>
    <w:rsid w:val="5A953685"/>
    <w:rsid w:val="5B7756EE"/>
    <w:rsid w:val="5CAB67E8"/>
    <w:rsid w:val="5D0E6EFA"/>
    <w:rsid w:val="60C87CB3"/>
    <w:rsid w:val="64286DC8"/>
    <w:rsid w:val="657333CA"/>
    <w:rsid w:val="65932756"/>
    <w:rsid w:val="67AB6E4B"/>
    <w:rsid w:val="67C95523"/>
    <w:rsid w:val="68F22631"/>
    <w:rsid w:val="697D3F64"/>
    <w:rsid w:val="6A222134"/>
    <w:rsid w:val="6A914238"/>
    <w:rsid w:val="6AEF74BC"/>
    <w:rsid w:val="6CA1081C"/>
    <w:rsid w:val="6F0D7277"/>
    <w:rsid w:val="6F213E96"/>
    <w:rsid w:val="723B7441"/>
    <w:rsid w:val="75B4336E"/>
    <w:rsid w:val="77505319"/>
    <w:rsid w:val="797057FE"/>
    <w:rsid w:val="79E37B88"/>
    <w:rsid w:val="7C953E73"/>
    <w:rsid w:val="7CD56D16"/>
    <w:rsid w:val="7F9B68FC"/>
    <w:rsid w:val="7FDC1E3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adjustRightInd w:val="0"/>
      <w:spacing w:line="360" w:lineRule="atLeast"/>
      <w:ind w:firstLine="420"/>
      <w:jc w:val="left"/>
      <w:textAlignment w:val="baseline"/>
    </w:pPr>
    <w:rPr>
      <w:kern w:val="0"/>
      <w:sz w:val="24"/>
    </w:rPr>
  </w:style>
  <w:style w:type="paragraph" w:styleId="3">
    <w:name w:val="Body Text"/>
    <w:basedOn w:val="1"/>
    <w:next w:val="4"/>
    <w:qFormat/>
    <w:uiPriority w:val="0"/>
    <w:pPr>
      <w:spacing w:after="0" w:line="240" w:lineRule="auto"/>
      <w:ind w:left="100"/>
    </w:pPr>
    <w:rPr>
      <w:rFonts w:ascii="宋体" w:hAnsi="宋体" w:eastAsia="宋体"/>
      <w:kern w:val="0"/>
      <w:szCs w:val="21"/>
      <w:lang w:eastAsia="en-US"/>
    </w:rPr>
  </w:style>
  <w:style w:type="paragraph" w:customStyle="1" w:styleId="4">
    <w:name w:val="Default"/>
    <w:qFormat/>
    <w:uiPriority w:val="0"/>
    <w:pPr>
      <w:widowControl w:val="0"/>
      <w:autoSpaceDE w:val="0"/>
      <w:autoSpaceDN w:val="0"/>
      <w:adjustRightInd w:val="0"/>
    </w:pPr>
    <w:rPr>
      <w:rFonts w:ascii="幼圆" w:hAnsi="Times New Roman" w:eastAsia="幼圆" w:cs="幼圆"/>
      <w:color w:val="000000"/>
      <w:sz w:val="24"/>
      <w:szCs w:val="24"/>
      <w:lang w:val="en-US" w:eastAsia="zh-CN" w:bidi="ar-SA"/>
    </w:rPr>
  </w:style>
  <w:style w:type="paragraph" w:styleId="5">
    <w:name w:val="Body Text Indent"/>
    <w:basedOn w:val="1"/>
    <w:qFormat/>
    <w:uiPriority w:val="0"/>
    <w:pPr>
      <w:autoSpaceDE w:val="0"/>
      <w:autoSpaceDN w:val="0"/>
      <w:adjustRightInd w:val="0"/>
      <w:ind w:left="900" w:firstLine="58"/>
      <w:jc w:val="left"/>
    </w:pPr>
    <w:rPr>
      <w:rFonts w:ascii="宋体" w:hAnsi="宋体" w:cs="Arial"/>
      <w:kern w:val="0"/>
      <w:sz w:val="28"/>
    </w:rPr>
  </w:style>
  <w:style w:type="paragraph" w:styleId="6">
    <w:name w:val="footer"/>
    <w:basedOn w:val="1"/>
    <w:link w:val="15"/>
    <w:qFormat/>
    <w:uiPriority w:val="0"/>
    <w:pPr>
      <w:tabs>
        <w:tab w:val="center" w:pos="4153"/>
        <w:tab w:val="right" w:pos="8306"/>
      </w:tabs>
      <w:snapToGrid w:val="0"/>
      <w:jc w:val="left"/>
    </w:pPr>
    <w:rPr>
      <w:sz w:val="18"/>
      <w:szCs w:val="18"/>
    </w:rPr>
  </w:style>
  <w:style w:type="paragraph" w:styleId="7">
    <w:name w:val="header"/>
    <w:basedOn w:val="1"/>
    <w:link w:val="14"/>
    <w:qFormat/>
    <w:uiPriority w:val="0"/>
    <w:pPr>
      <w:tabs>
        <w:tab w:val="center" w:pos="4153"/>
        <w:tab w:val="right" w:pos="8306"/>
      </w:tabs>
      <w:snapToGrid w:val="0"/>
      <w:jc w:val="center"/>
    </w:pPr>
    <w:rPr>
      <w:sz w:val="18"/>
      <w:szCs w:val="18"/>
    </w:rPr>
  </w:style>
  <w:style w:type="paragraph" w:styleId="8">
    <w:name w:val="Body Text First Indent 2"/>
    <w:basedOn w:val="5"/>
    <w:qFormat/>
    <w:uiPriority w:val="99"/>
    <w:pPr>
      <w:ind w:firstLine="420" w:firstLine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qFormat/>
    <w:uiPriority w:val="0"/>
    <w:rPr>
      <w:color w:val="0000FF"/>
      <w:u w:val="single"/>
    </w:rPr>
  </w:style>
  <w:style w:type="paragraph" w:customStyle="1" w:styleId="13">
    <w:name w:val="Plain Text"/>
    <w:basedOn w:val="1"/>
    <w:qFormat/>
    <w:uiPriority w:val="0"/>
    <w:rPr>
      <w:rFonts w:ascii="宋体" w:hAnsi="Courier New" w:cs="Courier New"/>
      <w:sz w:val="21"/>
      <w:szCs w:val="21"/>
    </w:rPr>
  </w:style>
  <w:style w:type="character" w:customStyle="1" w:styleId="14">
    <w:name w:val="页眉 字符"/>
    <w:link w:val="7"/>
    <w:qFormat/>
    <w:uiPriority w:val="0"/>
    <w:rPr>
      <w:kern w:val="2"/>
      <w:sz w:val="18"/>
      <w:szCs w:val="18"/>
    </w:rPr>
  </w:style>
  <w:style w:type="character" w:customStyle="1" w:styleId="15">
    <w:name w:val="页脚 字符"/>
    <w:link w:val="6"/>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8</Pages>
  <Words>2679</Words>
  <Characters>2838</Characters>
  <Lines>19</Lines>
  <Paragraphs>5</Paragraphs>
  <TotalTime>15</TotalTime>
  <ScaleCrop>false</ScaleCrop>
  <LinksUpToDate>false</LinksUpToDate>
  <CharactersWithSpaces>2961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2026-06-25T03:29:00Z</dcterms:created>
  <dc:creator>飞飞</dc:creator>
  <cp:lastModifiedBy>你的名字</cp:lastModifiedBy>
  <cp:lastPrinted>2026-07-05T01:10:39Z</cp:lastPrinted>
  <dcterms:modified xsi:type="dcterms:W3CDTF">2026-07-05T01:16:45Z</dcterms:modified>
  <dc:title>淮北矿业股份有限公司生产装备分公司</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D4198FC4DEEA4D6088F2FEBCF3D02580_13</vt:lpwstr>
  </property>
  <property fmtid="{D5CDD505-2E9C-101B-9397-08002B2CF9AE}" pid="4" name="KSOTemplateDocerSaveRecord">
    <vt:lpwstr>eyJoZGlkIjoiMDZlMGU0YTkxMjk2MWJjNTc0MmM0MDc0MDQ5ZDViYWIiLCJ1c2VySWQiOiI3Nzc1NjM2MDgifQ==</vt:lpwstr>
  </property>
</Properties>
</file>