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06"/>
        <w:tblW w:w="9897" w:type="dxa"/>
        <w:tblInd w:w="4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601"/>
        <w:gridCol w:w="5296"/>
      </w:tblGrid>
      <w:tr w14:paraId="224C6A8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233" w:hRule="atLeast"/>
        </w:trPr>
        <w:tc>
          <w:tcPr>
            <w:tcW w:w="9897" w:type="dxa"/>
            <w:gridSpan w:val="2"/>
            <w:vAlign w:val="center"/>
          </w:tcPr>
          <w:p w14:paraId="3584AFFA">
            <w:pPr>
              <w:keepNext w:val="0"/>
              <w:keepLines w:val="0"/>
              <w:pageBreakBefore w:val="0"/>
              <w:widowControl w:val="0"/>
              <w:kinsoku w:val="0"/>
              <w:wordWrap w:val="0"/>
              <w:overflowPunct/>
              <w:topLinePunct w:val="0"/>
              <w:autoSpaceDE w:val="0"/>
              <w:autoSpaceDN w:val="0"/>
              <w:bidi w:val="0"/>
              <w:adjustRightInd w:val="0"/>
              <w:snapToGrid w:val="0"/>
              <w:spacing w:before="78" w:line="340" w:lineRule="exact"/>
              <w:jc w:val="right"/>
              <w:textAlignment w:val="baseline"/>
              <w:rPr>
                <w:rFonts w:hint="default" w:asciiTheme="minorEastAsia" w:hAnsiTheme="minorEastAsia" w:eastAsiaTheme="minorEastAsia" w:cstheme="minorEastAsia"/>
                <w:snapToGrid w:val="0"/>
                <w:color w:val="000000" w:themeColor="text1"/>
                <w:spacing w:val="2"/>
                <w:kern w:val="0"/>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合同编号：</w:t>
            </w:r>
            <w:r>
              <w:rPr>
                <w:rFonts w:hint="eastAsia" w:asciiTheme="minorEastAsia" w:hAnsiTheme="minorEastAsia" w:cstheme="minorEastAsia"/>
                <w:snapToGrid w:val="0"/>
                <w:color w:val="000000" w:themeColor="text1"/>
                <w:spacing w:val="2"/>
                <w:kern w:val="0"/>
                <w:sz w:val="21"/>
                <w:szCs w:val="21"/>
                <w:highlight w:val="none"/>
                <w:u w:val="single"/>
                <w:lang w:val="en-US" w:eastAsia="zh-CN" w:bidi="ar-SA"/>
                <w14:textFill>
                  <w14:solidFill>
                    <w14:schemeClr w14:val="tx1"/>
                  </w14:solidFill>
                </w14:textFill>
              </w:rPr>
              <w:t xml:space="preserve">              </w:t>
            </w:r>
            <w:r>
              <w:rPr>
                <w:rFonts w:hint="eastAsia" w:asciiTheme="minorEastAsia" w:hAnsiTheme="minorEastAsia" w:cstheme="minorEastAsia"/>
                <w:snapToGrid w:val="0"/>
                <w:color w:val="000000" w:themeColor="text1"/>
                <w:spacing w:val="2"/>
                <w:kern w:val="0"/>
                <w:sz w:val="21"/>
                <w:szCs w:val="21"/>
                <w:highlight w:val="none"/>
                <w:u w:val="none"/>
                <w:lang w:val="en-US" w:eastAsia="zh-CN" w:bidi="ar-SA"/>
                <w14:textFill>
                  <w14:solidFill>
                    <w14:schemeClr w14:val="tx1"/>
                  </w14:solidFill>
                </w14:textFill>
              </w:rPr>
              <w:t xml:space="preserve">   </w:t>
            </w:r>
          </w:p>
        </w:tc>
      </w:tr>
      <w:tr w14:paraId="113A06A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68" w:hRule="atLeast"/>
        </w:trPr>
        <w:tc>
          <w:tcPr>
            <w:tcW w:w="9897" w:type="dxa"/>
            <w:gridSpan w:val="2"/>
            <w:vAlign w:val="center"/>
          </w:tcPr>
          <w:p w14:paraId="57A37E6F">
            <w:pPr>
              <w:keepNext w:val="0"/>
              <w:keepLines w:val="0"/>
              <w:pageBreakBefore w:val="0"/>
              <w:widowControl w:val="0"/>
              <w:kinsoku w:val="0"/>
              <w:wordWrap/>
              <w:overflowPunct/>
              <w:topLinePunct w:val="0"/>
              <w:autoSpaceDE w:val="0"/>
              <w:autoSpaceDN w:val="0"/>
              <w:bidi w:val="0"/>
              <w:adjustRightInd w:val="0"/>
              <w:snapToGrid w:val="0"/>
              <w:spacing w:before="78" w:line="340" w:lineRule="exact"/>
              <w:jc w:val="center"/>
              <w:textAlignment w:val="baseline"/>
              <w:rPr>
                <w:rFonts w:hint="default" w:ascii="Times New Roman" w:hAnsi="Times New Roman" w:eastAsia="微软雅黑" w:cs="Times New Roman"/>
                <w:b/>
                <w:bCs/>
                <w:snapToGrid w:val="0"/>
                <w:color w:val="000000" w:themeColor="text1"/>
                <w:kern w:val="0"/>
                <w:sz w:val="22"/>
                <w:szCs w:val="22"/>
                <w:highlight w:val="none"/>
                <w:lang w:val="en-US" w:eastAsia="zh-CN" w:bidi="ar-SA"/>
                <w14:textFill>
                  <w14:solidFill>
                    <w14:schemeClr w14:val="tx1"/>
                  </w14:solidFill>
                </w14:textFill>
              </w:rPr>
            </w:pPr>
            <w:r>
              <w:rPr>
                <w:rFonts w:ascii="微软雅黑" w:hAnsi="微软雅黑" w:eastAsia="微软雅黑" w:cs="微软雅黑"/>
                <w:snapToGrid w:val="0"/>
                <w:color w:val="000000" w:themeColor="text1"/>
                <w:spacing w:val="-8"/>
                <w:kern w:val="0"/>
                <w:sz w:val="36"/>
                <w:szCs w:val="36"/>
                <w:highlight w:val="none"/>
                <w:lang w:val="en-US" w:eastAsia="en-US" w:bidi="ar-SA"/>
                <w14:textFill>
                  <w14:solidFill>
                    <w14:schemeClr w14:val="tx1"/>
                  </w14:solidFill>
                </w14:textFill>
              </w:rPr>
              <w:t>工业品买卖合同</w:t>
            </w:r>
          </w:p>
        </w:tc>
      </w:tr>
      <w:tr w14:paraId="166B9BD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3" w:hRule="atLeast"/>
        </w:trPr>
        <w:tc>
          <w:tcPr>
            <w:tcW w:w="4601" w:type="dxa"/>
            <w:vAlign w:val="top"/>
          </w:tcPr>
          <w:p w14:paraId="43D48F66">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left="8"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sz w:val="21"/>
                <w:szCs w:val="21"/>
                <w:highlight w:val="none"/>
                <w:lang w:val="en-US" w:eastAsia="en-US" w:bidi="ar-SA"/>
                <w14:textFill>
                  <w14:solidFill>
                    <w14:schemeClr w14:val="tx1"/>
                  </w14:solidFill>
                </w14:textFill>
              </w:rPr>
              <w:t>甲方（买受人）：</w:t>
            </w:r>
          </w:p>
        </w:tc>
        <w:tc>
          <w:tcPr>
            <w:tcW w:w="5296" w:type="dxa"/>
            <w:vAlign w:val="top"/>
          </w:tcPr>
          <w:p w14:paraId="1C2F8185">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firstLine="428"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审核编号：</w:t>
            </w:r>
          </w:p>
        </w:tc>
      </w:tr>
      <w:tr w14:paraId="08DD226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5" w:hRule="atLeast"/>
        </w:trPr>
        <w:tc>
          <w:tcPr>
            <w:tcW w:w="4601" w:type="dxa"/>
            <w:vAlign w:val="top"/>
          </w:tcPr>
          <w:p w14:paraId="17FE981D">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乙方（出卖人）：</w:t>
            </w:r>
          </w:p>
        </w:tc>
        <w:tc>
          <w:tcPr>
            <w:tcW w:w="5296" w:type="dxa"/>
            <w:vAlign w:val="top"/>
          </w:tcPr>
          <w:p w14:paraId="05F07CC7">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签订地点：</w:t>
            </w:r>
            <w:r>
              <w:rPr>
                <w:rFonts w:hint="eastAsia" w:asciiTheme="minorEastAsia" w:hAnsiTheme="minorEastAsia" w:cstheme="minorEastAsia"/>
                <w:snapToGrid w:val="0"/>
                <w:color w:val="000000" w:themeColor="text1"/>
                <w:spacing w:val="5"/>
                <w:kern w:val="0"/>
                <w:position w:val="-1"/>
                <w:sz w:val="21"/>
                <w:szCs w:val="21"/>
                <w:highlight w:val="none"/>
                <w:u w:val="single"/>
                <w:lang w:val="en-US" w:eastAsia="zh-CN" w:bidi="ar-SA"/>
                <w14:textFill>
                  <w14:solidFill>
                    <w14:schemeClr w14:val="tx1"/>
                  </w14:solidFill>
                </w14:textFill>
              </w:rPr>
              <w:t>安徽省</w:t>
            </w:r>
            <w:r>
              <w:rPr>
                <w:rFonts w:hint="eastAsia" w:asciiTheme="minorEastAsia" w:hAnsiTheme="minorEastAsia" w:eastAsiaTheme="minorEastAsia" w:cstheme="minorEastAsia"/>
                <w:snapToGrid w:val="0"/>
                <w:color w:val="000000" w:themeColor="text1"/>
                <w:spacing w:val="5"/>
                <w:kern w:val="0"/>
                <w:position w:val="-1"/>
                <w:sz w:val="21"/>
                <w:szCs w:val="21"/>
                <w:highlight w:val="none"/>
                <w:u w:val="single"/>
                <w:lang w:val="en-US" w:eastAsia="en-US" w:bidi="ar-SA"/>
                <w14:textFill>
                  <w14:solidFill>
                    <w14:schemeClr w14:val="tx1"/>
                  </w14:solidFill>
                </w14:textFill>
              </w:rPr>
              <w:t>淮北市相山区</w:t>
            </w:r>
          </w:p>
        </w:tc>
      </w:tr>
    </w:tbl>
    <w:p w14:paraId="3C685E73">
      <w:pPr>
        <w:keepNext w:val="0"/>
        <w:keepLines w:val="0"/>
        <w:pageBreakBefore w:val="0"/>
        <w:widowControl w:val="0"/>
        <w:kinsoku/>
        <w:wordWrap/>
        <w:overflowPunct/>
        <w:topLinePunct w:val="0"/>
        <w:autoSpaceDE/>
        <w:autoSpaceDN/>
        <w:bidi w:val="0"/>
        <w:adjustRightInd/>
        <w:snapToGrid/>
        <w:spacing w:line="340" w:lineRule="exact"/>
        <w:ind w:firstLine="435"/>
        <w:textAlignment w:val="auto"/>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根据《</w:t>
      </w:r>
      <w:r>
        <w:rPr>
          <w:rFonts w:hint="eastAsia" w:ascii="宋体" w:hAnsi="宋体" w:eastAsia="宋体" w:cs="宋体"/>
          <w:color w:val="000000" w:themeColor="text1"/>
          <w:highlight w:val="none"/>
          <w:lang w:val="en-US" w:eastAsia="en-US"/>
          <w14:textFill>
            <w14:solidFill>
              <w14:schemeClr w14:val="tx1"/>
            </w14:solidFill>
          </w14:textFill>
        </w:rPr>
        <w:t>中华人民共和国</w:t>
      </w: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民法典》及相关法律法规，甲乙双方本着平等自愿、诚实信用原则，经协商一致，订立本合同。</w:t>
      </w:r>
    </w:p>
    <w:p w14:paraId="58E4EE63">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b/>
          <w:bCs/>
          <w:color w:val="auto"/>
          <w:sz w:val="22"/>
          <w:highlight w:val="none"/>
          <w:lang w:eastAsia="zh-CN"/>
        </w:rPr>
      </w:pPr>
      <w:r>
        <w:rPr>
          <w:rFonts w:ascii="宋体" w:hAnsi="宋体" w:eastAsia="宋体" w:cs="宋体"/>
          <w:b/>
          <w:bCs/>
          <w:color w:val="auto"/>
          <w:highlight w:val="none"/>
          <w:lang w:eastAsia="zh-CN"/>
        </w:rPr>
        <w:t>第一条 合同组成部分</w:t>
      </w:r>
    </w:p>
    <w:p w14:paraId="5E1C0A44">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1.1</w:t>
      </w:r>
      <w:r>
        <w:rPr>
          <w:rFonts w:ascii="宋体" w:hAnsi="宋体" w:eastAsia="宋体" w:cs="宋体"/>
          <w:color w:val="auto"/>
          <w:highlight w:val="none"/>
          <w:lang w:eastAsia="zh-CN"/>
        </w:rPr>
        <w:t>本合同</w:t>
      </w:r>
      <w:r>
        <w:rPr>
          <w:rFonts w:hint="eastAsia" w:ascii="宋体" w:hAnsi="宋体" w:eastAsia="宋体" w:cs="宋体"/>
          <w:color w:val="auto"/>
          <w:highlight w:val="none"/>
          <w:lang w:val="en-US" w:eastAsia="zh-CN"/>
        </w:rPr>
        <w:t>与下列文件一起构成合同文件：（1）</w:t>
      </w:r>
      <w:r>
        <w:rPr>
          <w:rFonts w:ascii="宋体" w:hAnsi="宋体" w:eastAsia="宋体" w:cs="宋体"/>
          <w:color w:val="auto"/>
          <w:highlight w:val="none"/>
          <w:lang w:eastAsia="zh-CN"/>
        </w:rPr>
        <w:t>中标（成交）通知书；</w:t>
      </w:r>
      <w:r>
        <w:rPr>
          <w:rFonts w:hint="eastAsia" w:ascii="宋体" w:hAnsi="宋体" w:eastAsia="宋体" w:cs="宋体"/>
          <w:color w:val="auto"/>
          <w:highlight w:val="none"/>
          <w:lang w:val="en-US" w:eastAsia="zh-CN"/>
        </w:rPr>
        <w:t>（2）技术协议</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送货单</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投标文件（含澄清文件、承诺等）</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000000" w:themeColor="text1"/>
          <w:highlight w:val="none"/>
          <w:lang w:val="en-US" w:eastAsia="zh-CN"/>
          <w14:textFill>
            <w14:solidFill>
              <w14:schemeClr w14:val="tx1"/>
            </w14:solidFill>
          </w14:textFill>
        </w:rPr>
        <w:t>采购</w:t>
      </w:r>
      <w:r>
        <w:rPr>
          <w:rFonts w:hint="eastAsia" w:ascii="宋体" w:hAnsi="宋体" w:eastAsia="宋体" w:cs="宋体"/>
          <w:color w:val="000000" w:themeColor="text1"/>
          <w:highlight w:val="none"/>
          <w:lang w:eastAsia="zh-CN"/>
          <w14:textFill>
            <w14:solidFill>
              <w14:schemeClr w14:val="tx1"/>
            </w14:solidFill>
          </w14:textFill>
        </w:rPr>
        <w:t>文件（含</w:t>
      </w:r>
      <w:r>
        <w:rPr>
          <w:rFonts w:hint="eastAsia" w:ascii="宋体" w:hAnsi="宋体" w:eastAsia="宋体" w:cs="宋体"/>
          <w:color w:val="000000" w:themeColor="text1"/>
          <w:highlight w:val="none"/>
          <w:lang w:val="en-US" w:eastAsia="zh-CN"/>
          <w14:textFill>
            <w14:solidFill>
              <w14:schemeClr w14:val="tx1"/>
            </w14:solidFill>
          </w14:textFill>
        </w:rPr>
        <w:t>招标</w:t>
      </w:r>
      <w:r>
        <w:rPr>
          <w:rFonts w:hint="eastAsia" w:ascii="宋体" w:hAnsi="宋体" w:eastAsia="宋体" w:cs="宋体"/>
          <w:color w:val="000000" w:themeColor="text1"/>
          <w:highlight w:val="none"/>
          <w:lang w:eastAsia="zh-CN"/>
          <w14:textFill>
            <w14:solidFill>
              <w14:schemeClr w14:val="tx1"/>
            </w14:solidFill>
          </w14:textFill>
        </w:rPr>
        <w:t>文件、澄清或者修改文件）</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ascii="宋体" w:hAnsi="宋体" w:eastAsia="宋体" w:cs="宋体"/>
          <w:color w:val="auto"/>
          <w:highlight w:val="none"/>
          <w:lang w:eastAsia="zh-CN"/>
        </w:rPr>
        <w:t>合同和技术协议规定的其他相关文件。</w:t>
      </w:r>
    </w:p>
    <w:p w14:paraId="78CCDB54">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1.2解释顺序：1.1中合同组成部分互相补充和解释。当合同文件</w:t>
      </w:r>
      <w:r>
        <w:rPr>
          <w:rFonts w:hint="eastAsia" w:ascii="宋体" w:hAnsi="宋体" w:eastAsia="宋体" w:cs="宋体"/>
          <w:color w:val="auto"/>
          <w:highlight w:val="none"/>
          <w:lang w:eastAsia="zh-CN"/>
        </w:rPr>
        <w:t>内容存在冲突时，以排列在先的文件为准。但双方在本合同及其附件中明确表示用以修改或取代先前文件内容的条款除外。</w:t>
      </w:r>
    </w:p>
    <w:p w14:paraId="368CC8DD">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lang w:eastAsia="zh-CN"/>
        </w:rPr>
        <w:t>双方在签订本合同后，就技术规范（规格型号、技术参数、检验标准、安装调试</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培训、服务</w:t>
      </w:r>
      <w:r>
        <w:rPr>
          <w:rFonts w:hint="eastAsia" w:ascii="宋体" w:hAnsi="宋体" w:eastAsia="宋体" w:cs="宋体"/>
          <w:color w:val="auto"/>
          <w:highlight w:val="none"/>
          <w:lang w:eastAsia="zh-CN"/>
        </w:rPr>
        <w:t>要求等）另行达成一致并签署的《技术协议》，自动作为本合同组成部分。</w:t>
      </w:r>
    </w:p>
    <w:p w14:paraId="72436B39">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1.4所列合同组成部分并非合同成立、生效或履行的必备要件，各合同文件效力以其实际生成并经双方确认的文件为准。</w:t>
      </w:r>
    </w:p>
    <w:p w14:paraId="391DB200">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 xml:space="preserve">第二条 </w:t>
      </w:r>
      <w:r>
        <w:rPr>
          <w:rFonts w:hint="eastAsia" w:ascii="宋体" w:hAnsi="宋体" w:eastAsia="宋体" w:cs="宋体"/>
          <w:b/>
          <w:bCs/>
          <w:color w:val="000000" w:themeColor="text1"/>
          <w:highlight w:val="none"/>
          <w:lang w:eastAsia="zh-CN"/>
          <w14:textFill>
            <w14:solidFill>
              <w14:schemeClr w14:val="tx1"/>
            </w14:solidFill>
          </w14:textFill>
        </w:rPr>
        <w:t>物资</w:t>
      </w:r>
      <w:r>
        <w:rPr>
          <w:rFonts w:ascii="宋体" w:hAnsi="宋体" w:eastAsia="宋体" w:cs="宋体"/>
          <w:b/>
          <w:bCs/>
          <w:color w:val="000000" w:themeColor="text1"/>
          <w:highlight w:val="none"/>
          <w:lang w:eastAsia="zh-CN"/>
          <w14:textFill>
            <w14:solidFill>
              <w14:schemeClr w14:val="tx1"/>
            </w14:solidFill>
          </w14:textFill>
        </w:rPr>
        <w:t>名称、规格型号、数量、价款</w:t>
      </w:r>
    </w:p>
    <w:p w14:paraId="42CF2AE4">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color w:val="000000" w:themeColor="text1"/>
          <w:sz w:val="22"/>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.1详见附件《</w:t>
      </w:r>
      <w:r>
        <w:rPr>
          <w:rFonts w:hint="eastAsia" w:ascii="宋体" w:hAnsi="宋体" w:eastAsia="宋体" w:cs="宋体"/>
          <w:color w:val="000000" w:themeColor="text1"/>
          <w:highlight w:val="none"/>
          <w:lang w:val="en-US" w:eastAsia="zh-CN"/>
          <w14:textFill>
            <w14:solidFill>
              <w14:schemeClr w14:val="tx1"/>
            </w14:solidFill>
          </w14:textFill>
        </w:rPr>
        <w:t>工业品买卖合同</w:t>
      </w:r>
      <w:r>
        <w:rPr>
          <w:rFonts w:hint="eastAsia" w:ascii="宋体" w:hAnsi="宋体" w:eastAsia="宋体" w:cs="宋体"/>
          <w:color w:val="000000" w:themeColor="text1"/>
          <w:highlight w:val="none"/>
          <w:lang w:eastAsia="zh-CN"/>
          <w14:textFill>
            <w14:solidFill>
              <w14:schemeClr w14:val="tx1"/>
            </w14:solidFill>
          </w14:textFill>
        </w:rPr>
        <w:t>明细表》。</w:t>
      </w:r>
    </w:p>
    <w:p w14:paraId="1BFDE55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第三条 产品技术规范、质量标准</w:t>
      </w:r>
    </w:p>
    <w:p w14:paraId="19816C7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.1产品所遵守的技术规范应与采购文件规定的技术规范、技术规范附件及其技术规范偏差表(甲方接受)相一致；如果采购文件中没有技术规范的相应说明，应以国家有关部门最新颁布的相应标准和规范为准。</w:t>
      </w:r>
    </w:p>
    <w:p w14:paraId="60D6A242">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.2质量标准以</w:t>
      </w:r>
      <w:r>
        <w:rPr>
          <w:rFonts w:hint="eastAsia" w:ascii="宋体" w:hAnsi="宋体" w:eastAsia="宋体" w:cs="宋体"/>
          <w:color w:val="000000" w:themeColor="text1"/>
          <w:highlight w:val="none"/>
          <w:lang w:val="en-US" w:eastAsia="zh-CN"/>
          <w14:textFill>
            <w14:solidFill>
              <w14:schemeClr w14:val="tx1"/>
            </w14:solidFill>
          </w14:textFill>
        </w:rPr>
        <w:t>采购文件要求为准，未明确</w:t>
      </w:r>
      <w:r>
        <w:rPr>
          <w:rFonts w:ascii="宋体" w:hAnsi="宋体" w:eastAsia="宋体" w:cs="宋体"/>
          <w:color w:val="000000" w:themeColor="text1"/>
          <w:highlight w:val="none"/>
          <w:lang w:eastAsia="zh-CN"/>
          <w14:textFill>
            <w14:solidFill>
              <w14:schemeClr w14:val="tx1"/>
            </w14:solidFill>
          </w14:textFill>
        </w:rPr>
        <w:t>质量标准</w:t>
      </w:r>
      <w:r>
        <w:rPr>
          <w:rFonts w:hint="eastAsia" w:ascii="宋体" w:hAnsi="宋体" w:eastAsia="宋体" w:cs="宋体"/>
          <w:color w:val="000000" w:themeColor="text1"/>
          <w:highlight w:val="none"/>
          <w:lang w:val="en-US" w:eastAsia="zh-CN"/>
          <w14:textFill>
            <w14:solidFill>
              <w14:schemeClr w14:val="tx1"/>
            </w14:solidFill>
          </w14:textFill>
        </w:rPr>
        <w:t>的以</w:t>
      </w:r>
      <w:r>
        <w:rPr>
          <w:rFonts w:ascii="宋体" w:hAnsi="宋体" w:eastAsia="宋体" w:cs="宋体"/>
          <w:color w:val="000000" w:themeColor="text1"/>
          <w:highlight w:val="none"/>
          <w:lang w:eastAsia="zh-CN"/>
          <w14:textFill>
            <w14:solidFill>
              <w14:schemeClr w14:val="tx1"/>
            </w14:solidFill>
          </w14:textFill>
        </w:rPr>
        <w:t>国家标准、行业标准、企业标准中最高者为准，如执行企业标准，乙方应向甲方提供企业标准的相关资料，需满足技术协议（技术规格书）相应要求；国家规定需要办理</w:t>
      </w:r>
      <w:r>
        <w:rPr>
          <w:rFonts w:hint="eastAsia" w:ascii="宋体" w:hAnsi="宋体" w:eastAsia="宋体" w:cs="宋体"/>
          <w:color w:val="000000" w:themeColor="text1"/>
          <w:highlight w:val="none"/>
          <w:lang w:eastAsia="zh-CN"/>
          <w14:textFill>
            <w14:solidFill>
              <w14:schemeClr w14:val="tx1"/>
            </w14:solidFill>
          </w14:textFill>
        </w:rPr>
        <w:t>“产品合格证”</w:t>
      </w:r>
      <w:r>
        <w:rPr>
          <w:rFonts w:ascii="宋体" w:hAnsi="宋体" w:eastAsia="宋体" w:cs="宋体"/>
          <w:color w:val="auto"/>
          <w:highlight w:val="none"/>
          <w:lang w:eastAsia="zh-CN"/>
        </w:rPr>
        <w:t>“</w:t>
      </w:r>
      <w:r>
        <w:rPr>
          <w:rFonts w:hint="eastAsia" w:ascii="宋体" w:hAnsi="宋体" w:eastAsia="宋体" w:cs="宋体"/>
          <w:color w:val="auto"/>
          <w:highlight w:val="none"/>
          <w:lang w:eastAsia="zh-CN"/>
        </w:rPr>
        <w:t>煤矿矿用产品安全标志认证</w:t>
      </w:r>
      <w:r>
        <w:rPr>
          <w:rFonts w:ascii="宋体" w:hAnsi="宋体" w:eastAsia="宋体" w:cs="宋体"/>
          <w:color w:val="auto"/>
          <w:highlight w:val="none"/>
          <w:lang w:eastAsia="zh-CN"/>
        </w:rPr>
        <w:t>”</w:t>
      </w:r>
      <w:r>
        <w:rPr>
          <w:rFonts w:ascii="宋体" w:hAnsi="宋体" w:eastAsia="宋体" w:cs="宋体"/>
          <w:color w:val="000000" w:themeColor="text1"/>
          <w:highlight w:val="none"/>
          <w:lang w:eastAsia="zh-CN"/>
          <w14:textFill>
            <w14:solidFill>
              <w14:schemeClr w14:val="tx1"/>
            </w14:solidFill>
          </w14:textFill>
        </w:rPr>
        <w:t>“3C认证”“防爆合格证”“生产许可证</w:t>
      </w:r>
      <w:r>
        <w:rPr>
          <w:rFonts w:hint="eastAsia" w:ascii="宋体" w:hAnsi="宋体" w:eastAsia="宋体" w:cs="宋体"/>
          <w:color w:val="auto"/>
          <w:highlight w:val="none"/>
          <w:lang w:eastAsia="zh-CN"/>
        </w:rPr>
        <w:t>”</w:t>
      </w:r>
      <w:r>
        <w:rPr>
          <w:rFonts w:ascii="宋体" w:hAnsi="宋体" w:eastAsia="宋体" w:cs="宋体"/>
          <w:color w:val="000000" w:themeColor="text1"/>
          <w:highlight w:val="none"/>
          <w:lang w:eastAsia="zh-CN"/>
          <w14:textFill>
            <w14:solidFill>
              <w14:schemeClr w14:val="tx1"/>
            </w14:solidFill>
          </w14:textFill>
        </w:rPr>
        <w:t>等相关资质证件的</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交货时应随货同行，资证合法有效。</w:t>
      </w:r>
    </w:p>
    <w:p w14:paraId="6F82D4A0">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.3乙方保证按合同提供的产品是全新的、完全符合合同规定的质量、规格和性能要求，没有设计、制造、材料、工艺或其他缺陷，乙方对提供的产品质量负责。</w:t>
      </w:r>
    </w:p>
    <w:p w14:paraId="0A4B1ADE">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u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4乙方所供产品，如甲方认为属于对企业安全生产有重大或较大影响的设备，甲方有权选择根据需要派出监造人员，对设备及其关键部件制造、检验情况进行现场监造。乙方配合甲方做好设备的驻厂监造或设备关键节点访问监造。</w:t>
      </w:r>
      <w:r>
        <w:rPr>
          <w:rFonts w:ascii="宋体" w:hAnsi="宋体" w:eastAsia="宋体" w:cs="宋体"/>
          <w:b/>
          <w:bCs/>
          <w:color w:val="000000" w:themeColor="text1"/>
          <w:highlight w:val="none"/>
          <w:lang w:eastAsia="zh-CN"/>
          <w14:textFill>
            <w14:solidFill>
              <w14:schemeClr w14:val="tx1"/>
            </w14:solidFill>
          </w14:textFill>
        </w:rPr>
        <w:t xml:space="preserve"> </w:t>
      </w:r>
    </w:p>
    <w:p w14:paraId="74C42372">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3.5</w:t>
      </w:r>
      <w:r>
        <w:rPr>
          <w:rFonts w:hint="eastAsia" w:ascii="宋体" w:hAnsi="宋体" w:eastAsia="宋体" w:cs="宋体"/>
          <w:color w:val="000000" w:themeColor="text1"/>
          <w:highlight w:val="none"/>
          <w:u w:val="none"/>
          <w:lang w:eastAsia="zh-CN"/>
          <w14:textFill>
            <w14:solidFill>
              <w14:schemeClr w14:val="tx1"/>
            </w14:solidFill>
          </w14:textFill>
        </w:rPr>
        <w:t>需特别约定的产品技术规范、质量标准要求：</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详见技术协议</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none"/>
          <w:lang w:eastAsia="zh-CN"/>
          <w14:textFill>
            <w14:solidFill>
              <w14:schemeClr w14:val="tx1"/>
            </w14:solidFill>
          </w14:textFill>
        </w:rPr>
        <w:t>。</w:t>
      </w:r>
    </w:p>
    <w:p w14:paraId="4BAAC689">
      <w:pPr>
        <w:keepNext w:val="0"/>
        <w:keepLines w:val="0"/>
        <w:pageBreakBefore w:val="0"/>
        <w:widowControl w:val="0"/>
        <w:tabs>
          <w:tab w:val="left" w:pos="567"/>
          <w:tab w:val="left" w:pos="709"/>
        </w:tabs>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color w:val="000000" w:themeColor="text1"/>
          <w:sz w:val="22"/>
          <w:highlight w:val="none"/>
          <w:lang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四</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包装、标记及运输</w:t>
      </w:r>
    </w:p>
    <w:p w14:paraId="243C2F4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.1包装</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乙方交付的全部产品，应采用行业通用的方式进行包装，适用于远距离运输、防潮、防震、防锈等；由于包装不善所引起的货物锈蚀、损坏和损失等一切风险均由乙方承担。包装一切</w:t>
      </w:r>
      <w:r>
        <w:rPr>
          <w:rFonts w:ascii="宋体" w:hAnsi="宋体" w:eastAsia="宋体" w:cs="宋体"/>
          <w:color w:val="auto"/>
          <w:highlight w:val="none"/>
          <w:lang w:eastAsia="zh-CN"/>
        </w:rPr>
        <w:t>费用由乙方自理，甲方无需将包装物退还给乙方</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特殊物资以4.4条约定为准</w:t>
      </w:r>
      <w:r>
        <w:rPr>
          <w:rFonts w:ascii="宋体" w:hAnsi="宋体" w:eastAsia="宋体" w:cs="宋体"/>
          <w:color w:val="auto"/>
          <w:highlight w:val="none"/>
          <w:lang w:eastAsia="zh-CN"/>
        </w:rPr>
        <w:t>。</w:t>
      </w:r>
    </w:p>
    <w:p w14:paraId="34887603">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14:textFill>
            <w14:solidFill>
              <w14:schemeClr w14:val="tx1"/>
            </w14:solidFill>
          </w14:textFill>
        </w:rPr>
        <w:t>.2标记</w:t>
      </w:r>
      <w:r>
        <w:rPr>
          <w:rFonts w:hint="eastAsia" w:eastAsia="宋体"/>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应按合同约定在产品包装上以不可擦除的、明显的方式做出必要的标记。根据产品的特点和运输、保管的不同要求，乙方应对产品清楚地标注“小心轻放”“此端朝上，请勿倒置”“保持干燥”等字样和其他适当标记。如产品中含有易燃易爆物品、腐蚀物品、放射性物质等危险品，乙方应按照国家规定进行标识标记</w:t>
      </w:r>
      <w:r>
        <w:rPr>
          <w:rFonts w:hint="eastAsia" w:ascii="宋体" w:hAnsi="宋体" w:eastAsia="宋体" w:cs="宋体"/>
          <w:color w:val="000000" w:themeColor="text1"/>
          <w:highlight w:val="none"/>
          <w:lang w:eastAsia="zh-CN"/>
          <w14:textFill>
            <w14:solidFill>
              <w14:schemeClr w14:val="tx1"/>
            </w14:solidFill>
          </w14:textFill>
        </w:rPr>
        <w:t>，并随货提供危险品运输许可证、安全技术说明书等</w:t>
      </w:r>
      <w:r>
        <w:rPr>
          <w:rFonts w:ascii="宋体" w:hAnsi="宋体" w:eastAsia="宋体" w:cs="宋体"/>
          <w:color w:val="000000" w:themeColor="text1"/>
          <w:highlight w:val="none"/>
          <w:lang w:eastAsia="zh-CN"/>
          <w14:textFill>
            <w14:solidFill>
              <w14:schemeClr w14:val="tx1"/>
            </w14:solidFill>
          </w14:textFill>
        </w:rPr>
        <w:t>。</w:t>
      </w:r>
    </w:p>
    <w:p w14:paraId="192F5F22">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.3运输</w:t>
      </w:r>
      <w:r>
        <w:rPr>
          <w:rFonts w:hint="eastAsia"/>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乙方自行选择适宜的运输工具及线路安排产品运输并按期运送至甲方指定地点交货；运杂费由乙方负担并承担全部安全责任</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运杂费</w:t>
      </w:r>
      <w:r>
        <w:rPr>
          <w:rFonts w:hint="eastAsia" w:ascii="宋体" w:hAnsi="宋体" w:eastAsia="宋体" w:cs="宋体"/>
          <w:color w:val="000000" w:themeColor="text1"/>
          <w:highlight w:val="none"/>
          <w:lang w:val="en-US" w:eastAsia="zh-CN"/>
          <w14:textFill>
            <w14:solidFill>
              <w14:schemeClr w14:val="tx1"/>
            </w14:solidFill>
          </w14:textFill>
        </w:rPr>
        <w:t>单独约定的除外）</w:t>
      </w:r>
      <w:r>
        <w:rPr>
          <w:rFonts w:ascii="宋体" w:hAnsi="宋体" w:eastAsia="宋体" w:cs="宋体"/>
          <w:color w:val="000000" w:themeColor="text1"/>
          <w:highlight w:val="none"/>
          <w:lang w:eastAsia="zh-CN"/>
          <w14:textFill>
            <w14:solidFill>
              <w14:schemeClr w14:val="tx1"/>
            </w14:solidFill>
          </w14:textFill>
        </w:rPr>
        <w:t>。</w:t>
      </w:r>
    </w:p>
    <w:p w14:paraId="671FE2A0">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4.4</w:t>
      </w:r>
      <w:r>
        <w:rPr>
          <w:rFonts w:hint="eastAsia" w:ascii="宋体" w:hAnsi="宋体" w:eastAsia="宋体" w:cs="宋体"/>
          <w:color w:val="000000" w:themeColor="text1"/>
          <w:highlight w:val="none"/>
          <w:lang w:eastAsia="zh-CN"/>
          <w14:textFill>
            <w14:solidFill>
              <w14:schemeClr w14:val="tx1"/>
            </w14:solidFill>
          </w14:textFill>
        </w:rPr>
        <w:t>需特别约定的产品包装、标记及运输要求：</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详见技术协议  </w:t>
      </w:r>
      <w:r>
        <w:rPr>
          <w:rFonts w:hint="eastAsia" w:ascii="宋体" w:hAnsi="宋体" w:eastAsia="宋体" w:cs="宋体"/>
          <w:color w:val="000000" w:themeColor="text1"/>
          <w:highlight w:val="none"/>
          <w:u w:val="none"/>
          <w:lang w:val="en-US" w:eastAsia="zh-CN"/>
          <w14:textFill>
            <w14:solidFill>
              <w14:schemeClr w14:val="tx1"/>
            </w14:solidFill>
          </w14:textFill>
        </w:rPr>
        <w:t>。</w:t>
      </w:r>
    </w:p>
    <w:p w14:paraId="6A9E9CD6">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五</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产品交付时间、地点及方式</w:t>
      </w:r>
    </w:p>
    <w:p w14:paraId="41B1CF5C">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ascii="宋体" w:hAnsi="宋体" w:eastAsia="宋体" w:cs="宋体"/>
          <w:color w:val="000000" w:themeColor="text1"/>
          <w:sz w:val="21"/>
          <w:szCs w:val="21"/>
          <w:highlight w:val="none"/>
          <w:lang w:eastAsia="zh-CN"/>
          <w14:textFill>
            <w14:solidFill>
              <w14:schemeClr w14:val="tx1"/>
            </w14:solidFill>
          </w14:textFill>
        </w:rPr>
        <w:t>.1乙方</w:t>
      </w:r>
      <w:r>
        <w:rPr>
          <w:rFonts w:hint="eastAsia" w:ascii="宋体" w:hAnsi="宋体" w:eastAsia="宋体" w:cs="宋体"/>
          <w:color w:val="000000" w:themeColor="text1"/>
          <w:sz w:val="21"/>
          <w:szCs w:val="21"/>
          <w:highlight w:val="none"/>
          <w:lang w:eastAsia="zh-CN"/>
          <w14:textFill>
            <w14:solidFill>
              <w14:schemeClr w14:val="tx1"/>
            </w14:solidFill>
          </w14:textFill>
        </w:rPr>
        <w:t>依据</w:t>
      </w:r>
      <w:r>
        <w:rPr>
          <w:rFonts w:ascii="宋体" w:hAnsi="宋体" w:eastAsia="宋体" w:cs="宋体"/>
          <w:color w:val="000000" w:themeColor="text1"/>
          <w:sz w:val="21"/>
          <w:szCs w:val="21"/>
          <w:highlight w:val="none"/>
          <w:lang w:eastAsia="zh-CN"/>
          <w14:textFill>
            <w14:solidFill>
              <w14:schemeClr w14:val="tx1"/>
            </w14:solidFill>
          </w14:textFill>
        </w:rPr>
        <w:t>甲方要求的地点和时间完成产品的交付（</w:t>
      </w:r>
      <w:r>
        <w:rPr>
          <w:rFonts w:hint="eastAsia" w:ascii="宋体" w:hAnsi="宋体" w:eastAsia="宋体" w:cs="宋体"/>
          <w:color w:val="000000" w:themeColor="text1"/>
          <w:sz w:val="21"/>
          <w:szCs w:val="21"/>
          <w:highlight w:val="none"/>
          <w:lang w:val="en-US" w:eastAsia="zh-CN"/>
          <w14:textFill>
            <w14:solidFill>
              <w14:schemeClr w14:val="tx1"/>
            </w14:solidFill>
          </w14:textFill>
        </w:rPr>
        <w:t>交</w:t>
      </w:r>
      <w:r>
        <w:rPr>
          <w:rFonts w:ascii="宋体" w:hAnsi="宋体" w:eastAsia="宋体" w:cs="宋体"/>
          <w:color w:val="000000" w:themeColor="text1"/>
          <w:sz w:val="21"/>
          <w:szCs w:val="21"/>
          <w:highlight w:val="none"/>
          <w:lang w:eastAsia="zh-CN"/>
          <w14:textFill>
            <w14:solidFill>
              <w14:schemeClr w14:val="tx1"/>
            </w14:solidFill>
          </w14:textFill>
        </w:rPr>
        <w:t>货地点：</w:t>
      </w:r>
      <w:r>
        <w:rPr>
          <w:rFonts w:hint="eastAsia" w:ascii="宋体" w:hAnsi="宋体" w:eastAsia="宋体" w:cs="宋体"/>
          <w:i w:val="0"/>
          <w:caps w:val="0"/>
          <w:color w:val="444444"/>
          <w:spacing w:val="0"/>
          <w:sz w:val="21"/>
          <w:szCs w:val="21"/>
          <w:highlight w:val="none"/>
          <w:u w:val="single"/>
          <w:shd w:val="clear" w:fill="FFFFFF"/>
          <w:lang w:val="en-US" w:eastAsia="zh-CN"/>
        </w:rPr>
        <w:t>使用单位</w:t>
      </w:r>
      <w:r>
        <w:rPr>
          <w:rFonts w:ascii="宋体" w:hAnsi="宋体" w:eastAsia="宋体" w:cs="宋体"/>
          <w:i w:val="0"/>
          <w:caps w:val="0"/>
          <w:color w:val="444444"/>
          <w:spacing w:val="0"/>
          <w:sz w:val="21"/>
          <w:szCs w:val="21"/>
          <w:highlight w:val="none"/>
          <w:u w:val="single"/>
          <w:shd w:val="clear" w:fill="FFFFFF"/>
        </w:rPr>
        <w:t>指定地点</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；交</w:t>
      </w:r>
      <w:r>
        <w:rPr>
          <w:rFonts w:ascii="宋体" w:hAnsi="宋体" w:eastAsia="宋体" w:cs="宋体"/>
          <w:color w:val="000000" w:themeColor="text1"/>
          <w:sz w:val="21"/>
          <w:szCs w:val="21"/>
          <w:highlight w:val="none"/>
          <w:lang w:eastAsia="zh-CN"/>
          <w14:textFill>
            <w14:solidFill>
              <w14:schemeClr w14:val="tx1"/>
            </w14:solidFill>
          </w14:textFill>
        </w:rPr>
        <w:t>货时间</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ascii="宋体" w:hAnsi="宋体" w:eastAsia="宋体" w:cs="宋体"/>
          <w:i w:val="0"/>
          <w:iCs w:val="0"/>
          <w:caps w:val="0"/>
          <w:color w:val="444444"/>
          <w:spacing w:val="0"/>
          <w:sz w:val="21"/>
          <w:szCs w:val="21"/>
          <w:highlight w:val="none"/>
          <w:u w:val="single"/>
          <w:shd w:val="clear" w:fill="FFFFFF"/>
        </w:rPr>
        <w:t>合同</w:t>
      </w:r>
      <w:r>
        <w:rPr>
          <w:rFonts w:ascii="宋体" w:hAnsi="宋体" w:eastAsia="宋体" w:cs="宋体"/>
          <w:i w:val="0"/>
          <w:iCs w:val="0"/>
          <w:caps w:val="0"/>
          <w:color w:val="auto"/>
          <w:spacing w:val="0"/>
          <w:sz w:val="21"/>
          <w:szCs w:val="21"/>
          <w:highlight w:val="none"/>
          <w:u w:val="single"/>
          <w:shd w:val="clear" w:fill="FFFFFF"/>
        </w:rPr>
        <w:t>生效时</w:t>
      </w:r>
      <w:r>
        <w:rPr>
          <w:rFonts w:ascii="宋体" w:hAnsi="宋体" w:eastAsia="宋体" w:cs="宋体"/>
          <w:i w:val="0"/>
          <w:caps w:val="0"/>
          <w:color w:val="444444"/>
          <w:spacing w:val="0"/>
          <w:sz w:val="21"/>
          <w:szCs w:val="21"/>
          <w:highlight w:val="none"/>
          <w:u w:val="single"/>
          <w:shd w:val="clear" w:fill="FFFFFF"/>
        </w:rPr>
        <w:t>起</w:t>
      </w:r>
      <w:r>
        <w:rPr>
          <w:rFonts w:hint="eastAsia" w:ascii="宋体" w:hAnsi="宋体" w:eastAsia="宋体" w:cs="宋体"/>
          <w:i w:val="0"/>
          <w:caps w:val="0"/>
          <w:color w:val="444444"/>
          <w:spacing w:val="0"/>
          <w:sz w:val="21"/>
          <w:szCs w:val="21"/>
          <w:highlight w:val="none"/>
          <w:u w:val="single"/>
          <w:shd w:val="clear" w:fill="FFFFFF"/>
          <w:lang w:val="en-US" w:eastAsia="zh-CN"/>
        </w:rPr>
        <w:t xml:space="preserve">  </w:t>
      </w:r>
      <w:bookmarkStart w:id="0" w:name="_GoBack"/>
      <w:bookmarkEnd w:id="0"/>
      <w:r>
        <w:rPr>
          <w:rFonts w:ascii="宋体" w:hAnsi="宋体" w:eastAsia="宋体" w:cs="宋体"/>
          <w:i w:val="0"/>
          <w:caps w:val="0"/>
          <w:color w:val="444444"/>
          <w:spacing w:val="0"/>
          <w:sz w:val="21"/>
          <w:szCs w:val="21"/>
          <w:highlight w:val="none"/>
          <w:u w:val="single"/>
          <w:shd w:val="clear" w:fill="FFFFFF"/>
        </w:rPr>
        <w:t>天内交货</w:t>
      </w:r>
      <w:r>
        <w:rPr>
          <w:rFonts w:ascii="宋体" w:hAnsi="宋体" w:eastAsia="宋体" w:cs="宋体"/>
          <w:color w:val="000000" w:themeColor="text1"/>
          <w:sz w:val="21"/>
          <w:szCs w:val="21"/>
          <w:highlight w:val="none"/>
          <w:lang w:eastAsia="zh-CN"/>
          <w14:textFill>
            <w14:solidFill>
              <w14:schemeClr w14:val="tx1"/>
            </w14:solidFill>
          </w14:textFill>
        </w:rPr>
        <w:t>。</w:t>
      </w:r>
    </w:p>
    <w:p w14:paraId="0950D4A5">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5.2产品的所有权和风险自交付完成起由乙方转移至甲方，产品交付完成前的所有风险均由乙方承担。</w:t>
      </w:r>
    </w:p>
    <w:p w14:paraId="33C69134">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5.3</w:t>
      </w:r>
      <w:r>
        <w:rPr>
          <w:rFonts w:hint="eastAsia" w:ascii="宋体" w:hAnsi="宋体" w:eastAsia="宋体" w:cs="宋体"/>
          <w:color w:val="000000" w:themeColor="text1"/>
          <w:sz w:val="21"/>
          <w:szCs w:val="21"/>
          <w:highlight w:val="none"/>
          <w:lang w:eastAsia="zh-CN"/>
          <w14:textFill>
            <w14:solidFill>
              <w14:schemeClr w14:val="tx1"/>
            </w14:solidFill>
          </w14:textFill>
        </w:rPr>
        <w:t>甲方对产品的数量及质量进行验收合格入库后视为交付完成</w:t>
      </w:r>
      <w:r>
        <w:rPr>
          <w:rFonts w:ascii="宋体" w:hAnsi="宋体" w:eastAsia="宋体" w:cs="宋体"/>
          <w:color w:val="000000" w:themeColor="text1"/>
          <w:sz w:val="21"/>
          <w:szCs w:val="21"/>
          <w:highlight w:val="none"/>
          <w:lang w:eastAsia="zh-CN"/>
          <w14:textFill>
            <w14:solidFill>
              <w14:schemeClr w14:val="tx1"/>
            </w14:solidFill>
          </w14:textFill>
        </w:rPr>
        <w:t>。</w:t>
      </w:r>
    </w:p>
    <w:p w14:paraId="3054EE7D">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5.4甲方有权要求乙方推迟交货，但必须提前</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1  </w:t>
      </w:r>
      <w:r>
        <w:rPr>
          <w:rFonts w:hint="eastAsia" w:ascii="宋体" w:hAnsi="宋体" w:eastAsia="宋体" w:cs="宋体"/>
          <w:color w:val="000000" w:themeColor="text1"/>
          <w:sz w:val="21"/>
          <w:szCs w:val="21"/>
          <w:highlight w:val="none"/>
          <w:lang w:val="en-US" w:eastAsia="zh-CN"/>
          <w14:textFill>
            <w14:solidFill>
              <w14:schemeClr w14:val="tx1"/>
            </w14:solidFill>
          </w14:textFill>
        </w:rPr>
        <w:t>天通知乙方，乙方不得拒绝，推迟交货不超过</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1"/>
          <w:szCs w:val="21"/>
          <w:highlight w:val="none"/>
          <w:lang w:val="en-US" w:eastAsia="zh-CN"/>
          <w14:textFill>
            <w14:solidFill>
              <w14:schemeClr w14:val="tx1"/>
            </w14:solidFill>
          </w14:textFill>
        </w:rPr>
        <w:t>个月且乙方不得收取费用，超过</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1"/>
          <w:szCs w:val="21"/>
          <w:highlight w:val="none"/>
          <w:lang w:val="en-US" w:eastAsia="zh-CN"/>
          <w14:textFill>
            <w14:solidFill>
              <w14:schemeClr w14:val="tx1"/>
            </w14:solidFill>
          </w14:textFill>
        </w:rPr>
        <w:t>个月由合同甲乙双方协商解决。</w:t>
      </w:r>
    </w:p>
    <w:p w14:paraId="49053033">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5.5需特别约定的产品交付时间、地点及方式：</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无  </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w:t>
      </w:r>
    </w:p>
    <w:p w14:paraId="6BCDF052">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六</w:t>
      </w:r>
      <w:r>
        <w:rPr>
          <w:rFonts w:ascii="宋体" w:hAnsi="宋体" w:eastAsia="宋体" w:cs="宋体"/>
          <w:b/>
          <w:bCs/>
          <w:color w:val="000000" w:themeColor="text1"/>
          <w:highlight w:val="none"/>
          <w:lang w:eastAsia="zh-CN"/>
          <w14:textFill>
            <w14:solidFill>
              <w14:schemeClr w14:val="tx1"/>
            </w14:solidFill>
          </w14:textFill>
        </w:rPr>
        <w:t>条 产品验收、检验与</w:t>
      </w:r>
      <w:r>
        <w:rPr>
          <w:rFonts w:hint="eastAsia" w:ascii="宋体" w:hAnsi="宋体" w:eastAsia="宋体" w:cs="宋体"/>
          <w:b/>
          <w:bCs/>
          <w:color w:val="000000" w:themeColor="text1"/>
          <w:highlight w:val="none"/>
          <w:lang w:eastAsia="zh-CN"/>
          <w14:textFill>
            <w14:solidFill>
              <w14:schemeClr w14:val="tx1"/>
            </w14:solidFill>
          </w14:textFill>
        </w:rPr>
        <w:t>救济方式</w:t>
      </w:r>
    </w:p>
    <w:p w14:paraId="5E62D899">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.1 按本合同第</w:t>
      </w:r>
      <w:r>
        <w:rPr>
          <w:rFonts w:hint="eastAsia" w:ascii="宋体" w:hAnsi="宋体" w:eastAsia="宋体" w:cs="宋体"/>
          <w:color w:val="000000" w:themeColor="text1"/>
          <w:highlight w:val="none"/>
          <w:lang w:eastAsia="zh-CN"/>
          <w14:textFill>
            <w14:solidFill>
              <w14:schemeClr w14:val="tx1"/>
            </w14:solidFill>
          </w14:textFill>
        </w:rPr>
        <w:t>三</w:t>
      </w:r>
      <w:r>
        <w:rPr>
          <w:rFonts w:ascii="宋体" w:hAnsi="宋体" w:eastAsia="宋体" w:cs="宋体"/>
          <w:color w:val="000000" w:themeColor="text1"/>
          <w:highlight w:val="none"/>
          <w:lang w:eastAsia="zh-CN"/>
          <w14:textFill>
            <w14:solidFill>
              <w14:schemeClr w14:val="tx1"/>
            </w14:solidFill>
          </w14:textFill>
        </w:rPr>
        <w:t>条</w:t>
      </w:r>
      <w:r>
        <w:rPr>
          <w:rFonts w:hint="eastAsia" w:ascii="宋体" w:hAnsi="宋体" w:eastAsia="宋体" w:cs="宋体"/>
          <w:color w:val="000000" w:themeColor="text1"/>
          <w:highlight w:val="none"/>
          <w:lang w:eastAsia="zh-CN"/>
          <w14:textFill>
            <w14:solidFill>
              <w14:schemeClr w14:val="tx1"/>
            </w14:solidFill>
          </w14:textFill>
        </w:rPr>
        <w:t>关于产品技术规范、质量标准的</w:t>
      </w:r>
      <w:r>
        <w:rPr>
          <w:rFonts w:ascii="宋体" w:hAnsi="宋体" w:eastAsia="宋体" w:cs="宋体"/>
          <w:color w:val="000000" w:themeColor="text1"/>
          <w:highlight w:val="none"/>
          <w:lang w:eastAsia="zh-CN"/>
          <w14:textFill>
            <w14:solidFill>
              <w14:schemeClr w14:val="tx1"/>
            </w14:solidFill>
          </w14:textFill>
        </w:rPr>
        <w:t>约定进行验收、检验。</w:t>
      </w:r>
    </w:p>
    <w:p w14:paraId="5D018736">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ascii="宋体" w:hAnsi="宋体" w:eastAsia="宋体" w:cs="宋体"/>
          <w:color w:val="000000" w:themeColor="text1"/>
          <w:sz w:val="21"/>
          <w:szCs w:val="21"/>
          <w:highlight w:val="none"/>
          <w:lang w:eastAsia="zh-CN"/>
          <w14:textFill>
            <w14:solidFill>
              <w14:schemeClr w14:val="tx1"/>
            </w14:solidFill>
          </w14:textFill>
        </w:rPr>
        <w:t>.2发货前，乙方应</w:t>
      </w:r>
      <w:r>
        <w:rPr>
          <w:rFonts w:hint="eastAsia" w:ascii="宋体" w:hAnsi="宋体" w:eastAsia="宋体" w:cs="宋体"/>
          <w:color w:val="000000" w:themeColor="text1"/>
          <w:sz w:val="21"/>
          <w:szCs w:val="21"/>
          <w:highlight w:val="none"/>
          <w:lang w:val="en-US" w:eastAsia="zh-CN"/>
          <w14:textFill>
            <w14:solidFill>
              <w14:schemeClr w14:val="tx1"/>
            </w14:solidFill>
          </w14:textFill>
        </w:rPr>
        <w:t>以</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cs="宋体"/>
          <w:i w:val="0"/>
          <w:caps w:val="0"/>
          <w:color w:val="444444"/>
          <w:spacing w:val="0"/>
          <w:sz w:val="21"/>
          <w:szCs w:val="21"/>
          <w:highlight w:val="none"/>
          <w:u w:val="single"/>
          <w:shd w:val="clear" w:fill="FFFFFF"/>
        </w:rPr>
        <w:t>在淮北矿业电子商务采购平台开具发货单</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方式</w:t>
      </w:r>
      <w:r>
        <w:rPr>
          <w:rFonts w:ascii="宋体" w:hAnsi="宋体" w:eastAsia="宋体" w:cs="宋体"/>
          <w:color w:val="000000" w:themeColor="text1"/>
          <w:sz w:val="21"/>
          <w:szCs w:val="21"/>
          <w:highlight w:val="none"/>
          <w:lang w:eastAsia="zh-CN"/>
          <w14:textFill>
            <w14:solidFill>
              <w14:schemeClr w14:val="tx1"/>
            </w14:solidFill>
          </w14:textFill>
        </w:rPr>
        <w:t>向甲方准确通知货物的发运日期、发运方式以及货物的名称、数量、重量、外形尺寸等基本情况，以便甲方或最终用户做好接收准备。</w:t>
      </w:r>
    </w:p>
    <w:p w14:paraId="03B03CF5">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6.3物资验收要求与流程等按照《淮北矿业集团物资验收管理办法》规定执行。</w:t>
      </w:r>
      <w:r>
        <w:rPr>
          <w:rFonts w:ascii="宋体" w:hAnsi="宋体" w:eastAsia="宋体" w:cs="宋体"/>
          <w:color w:val="000000" w:themeColor="text1"/>
          <w:sz w:val="21"/>
          <w:szCs w:val="21"/>
          <w:highlight w:val="none"/>
          <w:lang w:eastAsia="zh-CN"/>
          <w14:textFill>
            <w14:solidFill>
              <w14:schemeClr w14:val="tx1"/>
            </w14:solidFill>
          </w14:textFill>
        </w:rPr>
        <w:t>在验收过程中，因交付货物的部分或全部不符合本合同约定的数量、质量标准，外观变形损坏、破损、配件缺失及未达到甲方技术需求等情形，甲方有权选择拒绝接收该货物或者要求乙方负责无偿在甲方规定的时限内完成更换、补齐，确保所交付的货物符合合同约定，由此给甲方造成损失的，由乙方依法赔偿。</w:t>
      </w:r>
    </w:p>
    <w:p w14:paraId="3F87B1BD">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6.4合理损耗标准及计算方法：</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i w:val="0"/>
          <w:caps w:val="0"/>
          <w:color w:val="444444"/>
          <w:spacing w:val="0"/>
          <w:sz w:val="21"/>
          <w:szCs w:val="21"/>
          <w:highlight w:val="none"/>
          <w:u w:val="single"/>
          <w:shd w:val="clear" w:fill="FFFFFF"/>
          <w:lang w:val="en-US" w:eastAsia="zh-CN"/>
        </w:rPr>
        <w:t xml:space="preserve">按实际验收合格数量计算 </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43A13D48">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ascii="宋体" w:hAnsi="宋体" w:eastAsia="宋体" w:cs="宋体"/>
          <w:color w:val="000000" w:themeColor="text1"/>
          <w:sz w:val="21"/>
          <w:szCs w:val="21"/>
          <w:highlight w:val="none"/>
          <w14:textFill>
            <w14:solidFill>
              <w14:schemeClr w14:val="tx1"/>
            </w14:solidFill>
          </w14:textFill>
        </w:rPr>
        <w:t>产品质量保证期</w:t>
      </w:r>
      <w:r>
        <w:rPr>
          <w:rFonts w:hint="eastAsia" w:eastAsia="宋体"/>
          <w:color w:val="000000" w:themeColor="text1"/>
          <w:sz w:val="21"/>
          <w:szCs w:val="21"/>
          <w:highlight w:val="none"/>
          <w:lang w:eastAsia="zh-CN"/>
          <w14:textFill>
            <w14:solidFill>
              <w14:schemeClr w14:val="tx1"/>
            </w14:solidFill>
          </w14:textFill>
        </w:rPr>
        <w:t>：</w:t>
      </w:r>
      <w:r>
        <w:rPr>
          <w:rFonts w:hint="eastAsia" w:eastAsia="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详见技术协议</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1"/>
          <w:szCs w:val="21"/>
          <w:highlight w:val="none"/>
          <w:lang w:eastAsia="zh-CN"/>
          <w14:textFill>
            <w14:solidFill>
              <w14:schemeClr w14:val="tx1"/>
            </w14:solidFill>
          </w14:textFill>
        </w:rPr>
        <w:t>。除因甲方使用不当，产品在质量保证期内如破损、变质或被发现存在任何质量问题，乙方应负责进行退换。质保期内，乙方在接到甲方或最终用户通知后，应及时处理产品质量问题，否则，甲方有权暂停或终止后续订单及合同。</w:t>
      </w:r>
    </w:p>
    <w:p w14:paraId="5A393CF3">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ascii="宋体" w:hAnsi="宋体" w:eastAsia="宋体" w:cs="宋体"/>
          <w:color w:val="000000" w:themeColor="text1"/>
          <w:sz w:val="21"/>
          <w:szCs w:val="21"/>
          <w:highlight w:val="none"/>
          <w:lang w:eastAsia="zh-CN"/>
          <w14:textFill>
            <w14:solidFill>
              <w14:schemeClr w14:val="tx1"/>
            </w14:solidFill>
          </w14:textFill>
        </w:rPr>
        <w:t>甲方有权对乙方已交付的产品随机抽样检验，产品质量抽检</w:t>
      </w:r>
      <w:r>
        <w:rPr>
          <w:rFonts w:hint="eastAsia" w:ascii="宋体" w:hAnsi="宋体" w:eastAsia="宋体" w:cs="宋体"/>
          <w:color w:val="000000" w:themeColor="text1"/>
          <w:sz w:val="21"/>
          <w:szCs w:val="21"/>
          <w:highlight w:val="none"/>
          <w:lang w:eastAsia="zh-CN"/>
          <w14:textFill>
            <w14:solidFill>
              <w14:schemeClr w14:val="tx1"/>
            </w14:solidFill>
          </w14:textFill>
        </w:rPr>
        <w:t>等</w:t>
      </w:r>
      <w:r>
        <w:rPr>
          <w:rFonts w:ascii="宋体" w:hAnsi="宋体" w:eastAsia="宋体" w:cs="宋体"/>
          <w:color w:val="000000" w:themeColor="text1"/>
          <w:sz w:val="21"/>
          <w:szCs w:val="21"/>
          <w:highlight w:val="none"/>
          <w:lang w:eastAsia="zh-CN"/>
          <w14:textFill>
            <w14:solidFill>
              <w14:schemeClr w14:val="tx1"/>
            </w14:solidFill>
          </w14:textFill>
        </w:rPr>
        <w:t>不合格的，</w:t>
      </w:r>
      <w:r>
        <w:rPr>
          <w:rFonts w:hint="eastAsia" w:ascii="宋体" w:hAnsi="宋体" w:eastAsia="宋体" w:cs="宋体"/>
          <w:color w:val="000000" w:themeColor="text1"/>
          <w:sz w:val="21"/>
          <w:szCs w:val="21"/>
          <w:highlight w:val="none"/>
          <w:lang w:eastAsia="zh-CN"/>
          <w14:textFill>
            <w14:solidFill>
              <w14:schemeClr w14:val="tx1"/>
            </w14:solidFill>
          </w14:textFill>
        </w:rPr>
        <w:t>按照《物资分公司供应商管理办法》规定进行处理</w:t>
      </w:r>
      <w:r>
        <w:rPr>
          <w:rFonts w:ascii="宋体" w:hAnsi="宋体" w:eastAsia="宋体" w:cs="宋体"/>
          <w:color w:val="000000" w:themeColor="text1"/>
          <w:sz w:val="21"/>
          <w:szCs w:val="21"/>
          <w:highlight w:val="none"/>
          <w:lang w:eastAsia="zh-CN"/>
          <w14:textFill>
            <w14:solidFill>
              <w14:schemeClr w14:val="tx1"/>
            </w14:solidFill>
          </w14:textFill>
        </w:rPr>
        <w:t>。</w:t>
      </w:r>
    </w:p>
    <w:p w14:paraId="683CED4D">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6.7乙方超合同量（合同有约定除外）供货的，甲方有权拒绝收货。</w:t>
      </w:r>
    </w:p>
    <w:p w14:paraId="1351CE4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救济方式。</w:t>
      </w:r>
      <w:r>
        <w:rPr>
          <w:rFonts w:ascii="宋体" w:hAnsi="宋体" w:eastAsia="宋体" w:cs="宋体"/>
          <w:color w:val="000000" w:themeColor="text1"/>
          <w:sz w:val="21"/>
          <w:szCs w:val="21"/>
          <w:highlight w:val="none"/>
          <w:lang w:eastAsia="zh-CN"/>
          <w14:textFill>
            <w14:solidFill>
              <w14:schemeClr w14:val="tx1"/>
            </w14:solidFill>
          </w14:textFill>
        </w:rPr>
        <w:t>乙方所交付产品在数量、规格、</w:t>
      </w:r>
      <w:r>
        <w:rPr>
          <w:rFonts w:hint="eastAsia" w:ascii="宋体" w:hAnsi="宋体" w:eastAsia="宋体" w:cs="宋体"/>
          <w:color w:val="000000" w:themeColor="text1"/>
          <w:sz w:val="21"/>
          <w:szCs w:val="21"/>
          <w:highlight w:val="none"/>
          <w:lang w:eastAsia="zh-CN"/>
          <w14:textFill>
            <w14:solidFill>
              <w14:schemeClr w14:val="tx1"/>
            </w14:solidFill>
          </w14:textFill>
        </w:rPr>
        <w:t>外观、</w:t>
      </w:r>
      <w:r>
        <w:rPr>
          <w:rFonts w:ascii="宋体" w:hAnsi="宋体" w:eastAsia="宋体" w:cs="宋体"/>
          <w:color w:val="000000" w:themeColor="text1"/>
          <w:sz w:val="21"/>
          <w:szCs w:val="21"/>
          <w:highlight w:val="none"/>
          <w:lang w:eastAsia="zh-CN"/>
          <w14:textFill>
            <w14:solidFill>
              <w14:schemeClr w14:val="tx1"/>
            </w14:solidFill>
          </w14:textFill>
        </w:rPr>
        <w:t>质量、性能或任何其他方面与标准、本合同、技术协议（技术规格书）等不符，甲方有权</w:t>
      </w:r>
      <w:r>
        <w:rPr>
          <w:rFonts w:hint="eastAsia" w:ascii="宋体" w:hAnsi="宋体" w:eastAsia="宋体" w:cs="宋体"/>
          <w:color w:val="000000" w:themeColor="text1"/>
          <w:sz w:val="21"/>
          <w:szCs w:val="21"/>
          <w:highlight w:val="none"/>
          <w:lang w:eastAsia="zh-CN"/>
          <w14:textFill>
            <w14:solidFill>
              <w14:schemeClr w14:val="tx1"/>
            </w14:solidFill>
          </w14:textFill>
        </w:rPr>
        <w:t>以书面形式通知乙方，乙方</w:t>
      </w:r>
      <w:r>
        <w:rPr>
          <w:rFonts w:hint="eastAsia" w:ascii="宋体" w:hAnsi="宋体" w:eastAsia="宋体" w:cs="宋体"/>
          <w:color w:val="000000" w:themeColor="text1"/>
          <w:sz w:val="21"/>
          <w:szCs w:val="21"/>
          <w:highlight w:val="none"/>
          <w:lang w:val="en-US" w:eastAsia="zh-CN"/>
          <w14:textFill>
            <w14:solidFill>
              <w14:schemeClr w14:val="tx1"/>
            </w14:solidFill>
          </w14:textFill>
        </w:rPr>
        <w:t>应</w:t>
      </w:r>
      <w:r>
        <w:rPr>
          <w:rFonts w:hint="eastAsia" w:ascii="宋体" w:hAnsi="宋体" w:eastAsia="宋体" w:cs="宋体"/>
          <w:color w:val="000000" w:themeColor="text1"/>
          <w:sz w:val="21"/>
          <w:szCs w:val="21"/>
          <w:highlight w:val="none"/>
          <w:lang w:eastAsia="zh-CN"/>
          <w14:textFill>
            <w14:solidFill>
              <w14:schemeClr w14:val="tx1"/>
            </w14:solidFill>
          </w14:textFill>
        </w:rPr>
        <w:t>在</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书面通知要求的期间内</w:t>
      </w:r>
      <w:r>
        <w:rPr>
          <w:rFonts w:hint="eastAsia" w:ascii="宋体" w:hAnsi="宋体" w:eastAsia="宋体" w:cs="宋体"/>
          <w:color w:val="000000" w:themeColor="text1"/>
          <w:sz w:val="21"/>
          <w:szCs w:val="21"/>
          <w:highlight w:val="none"/>
          <w:lang w:eastAsia="zh-CN"/>
          <w14:textFill>
            <w14:solidFill>
              <w14:schemeClr w14:val="tx1"/>
            </w14:solidFill>
          </w14:textFill>
        </w:rPr>
        <w:t>书面回复处理方案。</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lang w:eastAsia="zh-CN"/>
        </w:rPr>
        <w:t>逾期未回复的</w:t>
      </w:r>
      <w:r>
        <w:rPr>
          <w:rFonts w:hint="eastAsia" w:ascii="宋体" w:hAnsi="宋体" w:eastAsia="宋体" w:cs="宋体"/>
          <w:color w:val="auto"/>
          <w:sz w:val="21"/>
          <w:szCs w:val="21"/>
          <w:highlight w:val="none"/>
          <w:lang w:val="en-US" w:eastAsia="zh-CN"/>
        </w:rPr>
        <w:t>视同对书面通知无异议</w:t>
      </w:r>
      <w:r>
        <w:rPr>
          <w:rFonts w:hint="eastAsia" w:ascii="宋体" w:hAnsi="宋体" w:eastAsia="宋体" w:cs="宋体"/>
          <w:color w:val="000000" w:themeColor="text1"/>
          <w:sz w:val="21"/>
          <w:szCs w:val="21"/>
          <w:highlight w:val="none"/>
          <w:lang w:eastAsia="zh-CN"/>
          <w14:textFill>
            <w14:solidFill>
              <w14:schemeClr w14:val="tx1"/>
            </w14:solidFill>
          </w14:textFill>
        </w:rPr>
        <w:t>，甲方有权</w:t>
      </w:r>
      <w:r>
        <w:rPr>
          <w:rFonts w:ascii="宋体" w:hAnsi="宋体" w:eastAsia="宋体" w:cs="宋体"/>
          <w:color w:val="000000" w:themeColor="text1"/>
          <w:sz w:val="21"/>
          <w:szCs w:val="21"/>
          <w:highlight w:val="none"/>
          <w:lang w:eastAsia="zh-CN"/>
          <w14:textFill>
            <w14:solidFill>
              <w14:schemeClr w14:val="tx1"/>
            </w14:solidFill>
          </w14:textFill>
        </w:rPr>
        <w:t>要求乙方按下列一种或几种方式</w:t>
      </w:r>
      <w:r>
        <w:rPr>
          <w:rFonts w:hint="eastAsia" w:ascii="宋体" w:hAnsi="宋体" w:eastAsia="宋体" w:cs="宋体"/>
          <w:color w:val="000000" w:themeColor="text1"/>
          <w:sz w:val="21"/>
          <w:szCs w:val="21"/>
          <w:highlight w:val="none"/>
          <w:lang w:eastAsia="zh-CN"/>
          <w14:textFill>
            <w14:solidFill>
              <w14:schemeClr w14:val="tx1"/>
            </w14:solidFill>
          </w14:textFill>
        </w:rPr>
        <w:t>进行救济</w:t>
      </w:r>
      <w:r>
        <w:rPr>
          <w:rFonts w:ascii="宋体" w:hAnsi="宋体" w:eastAsia="宋体" w:cs="宋体"/>
          <w:color w:val="000000" w:themeColor="text1"/>
          <w:sz w:val="21"/>
          <w:szCs w:val="21"/>
          <w:highlight w:val="none"/>
          <w:lang w:eastAsia="zh-CN"/>
          <w14:textFill>
            <w14:solidFill>
              <w14:schemeClr w14:val="tx1"/>
            </w14:solidFill>
          </w14:textFill>
        </w:rPr>
        <w:t>：</w:t>
      </w:r>
    </w:p>
    <w:p w14:paraId="205F5F16">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（1）</w:t>
      </w:r>
      <w:r>
        <w:rPr>
          <w:rFonts w:hint="eastAsia" w:ascii="宋体" w:hAnsi="宋体" w:eastAsia="宋体" w:cs="宋体"/>
          <w:color w:val="000000" w:themeColor="text1"/>
          <w:highlight w:val="none"/>
          <w:u w:val="single"/>
          <w:lang w:val="en-US" w:eastAsia="zh-CN"/>
          <w14:textFill>
            <w14:solidFill>
              <w14:schemeClr w14:val="tx1"/>
            </w14:solidFill>
          </w14:textFill>
        </w:rPr>
        <w:t>甲方</w:t>
      </w:r>
      <w:r>
        <w:rPr>
          <w:rFonts w:ascii="宋体" w:hAnsi="宋体" w:eastAsia="宋体" w:cs="宋体"/>
          <w:color w:val="000000" w:themeColor="text1"/>
          <w:highlight w:val="none"/>
          <w:u w:val="single"/>
          <w:lang w:eastAsia="zh-CN"/>
          <w14:textFill>
            <w14:solidFill>
              <w14:schemeClr w14:val="tx1"/>
            </w14:solidFill>
          </w14:textFill>
        </w:rPr>
        <w:t>退货</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同时乙方</w:t>
      </w:r>
      <w:r>
        <w:rPr>
          <w:rFonts w:ascii="宋体" w:hAnsi="宋体" w:eastAsia="宋体" w:cs="宋体"/>
          <w:color w:val="000000" w:themeColor="text1"/>
          <w:highlight w:val="none"/>
          <w:u w:val="single"/>
          <w:lang w:eastAsia="zh-CN"/>
          <w14:textFill>
            <w14:solidFill>
              <w14:schemeClr w14:val="tx1"/>
            </w14:solidFill>
          </w14:textFill>
        </w:rPr>
        <w:t>退还已支付</w:t>
      </w:r>
      <w:r>
        <w:rPr>
          <w:rFonts w:hint="eastAsia" w:ascii="宋体" w:hAnsi="宋体" w:eastAsia="宋体" w:cs="宋体"/>
          <w:color w:val="000000" w:themeColor="text1"/>
          <w:highlight w:val="none"/>
          <w:u w:val="single"/>
          <w:lang w:val="en-US" w:eastAsia="zh-CN"/>
          <w14:textFill>
            <w14:solidFill>
              <w14:schemeClr w14:val="tx1"/>
            </w14:solidFill>
          </w14:textFill>
        </w:rPr>
        <w:t>相应</w:t>
      </w:r>
      <w:r>
        <w:rPr>
          <w:rFonts w:ascii="宋体" w:hAnsi="宋体" w:eastAsia="宋体" w:cs="宋体"/>
          <w:color w:val="000000" w:themeColor="text1"/>
          <w:highlight w:val="none"/>
          <w:u w:val="single"/>
          <w:lang w:eastAsia="zh-CN"/>
          <w14:textFill>
            <w14:solidFill>
              <w14:schemeClr w14:val="tx1"/>
            </w14:solidFill>
          </w14:textFill>
        </w:rPr>
        <w:t>货款，并承担</w:t>
      </w:r>
      <w:r>
        <w:rPr>
          <w:rFonts w:hint="eastAsia" w:ascii="宋体" w:hAnsi="宋体" w:eastAsia="宋体" w:cs="宋体"/>
          <w:color w:val="000000" w:themeColor="text1"/>
          <w:highlight w:val="none"/>
          <w:u w:val="single"/>
          <w:lang w:val="en-US" w:eastAsia="zh-CN"/>
          <w14:textFill>
            <w14:solidFill>
              <w14:schemeClr w14:val="tx1"/>
            </w14:solidFill>
          </w14:textFill>
        </w:rPr>
        <w:t>因</w:t>
      </w:r>
      <w:r>
        <w:rPr>
          <w:rFonts w:ascii="宋体" w:hAnsi="宋体" w:eastAsia="宋体" w:cs="宋体"/>
          <w:color w:val="000000" w:themeColor="text1"/>
          <w:highlight w:val="none"/>
          <w:u w:val="single"/>
          <w:lang w:eastAsia="zh-CN"/>
          <w14:textFill>
            <w14:solidFill>
              <w14:schemeClr w14:val="tx1"/>
            </w14:solidFill>
          </w14:textFill>
        </w:rPr>
        <w:t>产品质量问题而进行的</w:t>
      </w:r>
      <w:r>
        <w:rPr>
          <w:rFonts w:hint="eastAsia" w:ascii="宋体" w:hAnsi="宋体" w:eastAsia="宋体" w:cs="宋体"/>
          <w:color w:val="000000" w:themeColor="text1"/>
          <w:highlight w:val="none"/>
          <w:u w:val="single"/>
          <w:lang w:val="en-US" w:eastAsia="zh-CN"/>
          <w14:textFill>
            <w14:solidFill>
              <w14:schemeClr w14:val="tx1"/>
            </w14:solidFill>
          </w14:textFill>
        </w:rPr>
        <w:t>检验</w:t>
      </w:r>
      <w:r>
        <w:rPr>
          <w:rFonts w:ascii="宋体" w:hAnsi="宋体" w:eastAsia="宋体" w:cs="宋体"/>
          <w:color w:val="000000" w:themeColor="text1"/>
          <w:highlight w:val="none"/>
          <w:u w:val="single"/>
          <w:lang w:eastAsia="zh-CN"/>
          <w14:textFill>
            <w14:solidFill>
              <w14:schemeClr w14:val="tx1"/>
            </w14:solidFill>
          </w14:textFill>
        </w:rPr>
        <w:t>及其他相关的费用。</w:t>
      </w:r>
    </w:p>
    <w:p w14:paraId="46E52026">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（2）对于已使用且无法退货的消耗性物资，甲方的使用行为不视为对产品质量的认可，甲方有权要求乙方在合理期限内采取修理或降价等补救措施，并赔偿因此造成的直接损失</w:t>
      </w:r>
      <w:r>
        <w:rPr>
          <w:rFonts w:hint="eastAsia" w:ascii="宋体" w:hAnsi="宋体" w:eastAsia="宋体" w:cs="宋体"/>
          <w:color w:val="000000" w:themeColor="text1"/>
          <w:highlight w:val="none"/>
          <w:u w:val="single"/>
          <w:lang w:val="en-US" w:eastAsia="zh-CN"/>
          <w14:textFill>
            <w14:solidFill>
              <w14:schemeClr w14:val="tx1"/>
            </w14:solidFill>
          </w14:textFill>
        </w:rPr>
        <w:t>和</w:t>
      </w:r>
      <w:r>
        <w:rPr>
          <w:rFonts w:hint="eastAsia" w:ascii="宋体" w:hAnsi="宋体" w:eastAsia="宋体" w:cs="宋体"/>
          <w:color w:val="000000" w:themeColor="text1"/>
          <w:highlight w:val="none"/>
          <w:u w:val="single"/>
          <w:lang w:eastAsia="zh-CN"/>
          <w14:textFill>
            <w14:solidFill>
              <w14:schemeClr w14:val="tx1"/>
            </w14:solidFill>
          </w14:textFill>
        </w:rPr>
        <w:t>间接损失。</w:t>
      </w:r>
    </w:p>
    <w:p w14:paraId="335E65C4">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3</w:t>
      </w:r>
      <w:r>
        <w:rPr>
          <w:rFonts w:ascii="宋体" w:hAnsi="宋体" w:eastAsia="宋体" w:cs="宋体"/>
          <w:color w:val="000000" w:themeColor="text1"/>
          <w:highlight w:val="none"/>
          <w:u w:val="single"/>
          <w:lang w:eastAsia="zh-CN"/>
          <w14:textFill>
            <w14:solidFill>
              <w14:schemeClr w14:val="tx1"/>
            </w14:solidFill>
          </w14:textFill>
        </w:rPr>
        <w:t>）更换整个有瑕疵的零件</w:t>
      </w:r>
      <w:r>
        <w:rPr>
          <w:rFonts w:hint="eastAsia" w:ascii="宋体" w:hAnsi="宋体" w:eastAsia="宋体" w:cs="宋体"/>
          <w:color w:val="000000" w:themeColor="text1"/>
          <w:highlight w:val="none"/>
          <w:u w:val="single"/>
          <w:lang w:eastAsia="zh-CN"/>
          <w14:textFill>
            <w14:solidFill>
              <w14:schemeClr w14:val="tx1"/>
            </w14:solidFill>
          </w14:textFill>
        </w:rPr>
        <w:t>（部件）</w:t>
      </w:r>
      <w:r>
        <w:rPr>
          <w:rFonts w:ascii="宋体" w:hAnsi="宋体" w:eastAsia="宋体" w:cs="宋体"/>
          <w:color w:val="000000" w:themeColor="text1"/>
          <w:highlight w:val="none"/>
          <w:u w:val="single"/>
          <w:lang w:eastAsia="zh-CN"/>
          <w14:textFill>
            <w14:solidFill>
              <w14:schemeClr w14:val="tx1"/>
            </w14:solidFill>
          </w14:textFill>
        </w:rPr>
        <w:t>，或用符合</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规定的规格﹑质量和性能的新零件更换，乙方承担所有直接相关费用</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对</w:t>
      </w:r>
      <w:r>
        <w:rPr>
          <w:rFonts w:ascii="宋体" w:hAnsi="宋体" w:eastAsia="宋体" w:cs="宋体"/>
          <w:color w:val="000000" w:themeColor="text1"/>
          <w:highlight w:val="none"/>
          <w:u w:val="single"/>
          <w:lang w:eastAsia="zh-CN"/>
          <w14:textFill>
            <w14:solidFill>
              <w14:schemeClr w14:val="tx1"/>
            </w14:solidFill>
          </w14:textFill>
        </w:rPr>
        <w:t>更换产品</w:t>
      </w:r>
      <w:r>
        <w:rPr>
          <w:rFonts w:hint="eastAsia" w:ascii="宋体" w:hAnsi="宋体" w:eastAsia="宋体" w:cs="宋体"/>
          <w:color w:val="000000" w:themeColor="text1"/>
          <w:highlight w:val="none"/>
          <w:u w:val="single"/>
          <w:lang w:eastAsia="zh-CN"/>
          <w14:textFill>
            <w14:solidFill>
              <w14:schemeClr w14:val="tx1"/>
            </w14:solidFill>
          </w14:textFill>
        </w:rPr>
        <w:t>按</w:t>
      </w:r>
      <w:r>
        <w:rPr>
          <w:rFonts w:hint="eastAsia" w:ascii="宋体" w:hAnsi="宋体" w:eastAsia="宋体" w:cs="宋体"/>
          <w:color w:val="000000" w:themeColor="text1"/>
          <w:highlight w:val="none"/>
          <w:u w:val="single"/>
          <w:lang w:val="en-US" w:eastAsia="zh-CN"/>
          <w14:textFill>
            <w14:solidFill>
              <w14:schemeClr w14:val="tx1"/>
            </w14:solidFill>
          </w14:textFill>
        </w:rPr>
        <w:t>本合同6.5条约定的质保期重新计算</w:t>
      </w:r>
      <w:r>
        <w:rPr>
          <w:rFonts w:ascii="宋体" w:hAnsi="宋体" w:eastAsia="宋体" w:cs="宋体"/>
          <w:color w:val="000000" w:themeColor="text1"/>
          <w:highlight w:val="none"/>
          <w:u w:val="single"/>
          <w:lang w:eastAsia="zh-CN"/>
          <w14:textFill>
            <w14:solidFill>
              <w14:schemeClr w14:val="tx1"/>
            </w14:solidFill>
          </w14:textFill>
        </w:rPr>
        <w:t>。</w:t>
      </w:r>
    </w:p>
    <w:p w14:paraId="7A6ABE0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4</w:t>
      </w:r>
      <w:r>
        <w:rPr>
          <w:rFonts w:ascii="宋体" w:hAnsi="宋体" w:eastAsia="宋体" w:cs="宋体"/>
          <w:color w:val="000000" w:themeColor="text1"/>
          <w:highlight w:val="none"/>
          <w:u w:val="single"/>
          <w:lang w:eastAsia="zh-CN"/>
          <w14:textFill>
            <w14:solidFill>
              <w14:schemeClr w14:val="tx1"/>
            </w14:solidFill>
          </w14:textFill>
        </w:rPr>
        <w:t>）甲方有权</w:t>
      </w:r>
      <w:r>
        <w:rPr>
          <w:rFonts w:hint="eastAsia" w:ascii="宋体" w:hAnsi="宋体" w:eastAsia="宋体" w:cs="宋体"/>
          <w:color w:val="000000" w:themeColor="text1"/>
          <w:highlight w:val="none"/>
          <w:u w:val="single"/>
          <w:lang w:val="en-US" w:eastAsia="zh-CN"/>
          <w14:textFill>
            <w14:solidFill>
              <w14:schemeClr w14:val="tx1"/>
            </w14:solidFill>
          </w14:textFill>
        </w:rPr>
        <w:t>单方</w:t>
      </w:r>
      <w:r>
        <w:rPr>
          <w:rFonts w:ascii="宋体" w:hAnsi="宋体" w:eastAsia="宋体" w:cs="宋体"/>
          <w:color w:val="000000" w:themeColor="text1"/>
          <w:highlight w:val="none"/>
          <w:u w:val="single"/>
          <w:lang w:eastAsia="zh-CN"/>
          <w14:textFill>
            <w14:solidFill>
              <w14:schemeClr w14:val="tx1"/>
            </w14:solidFill>
          </w14:textFill>
        </w:rPr>
        <w:t>解除</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本</w:t>
      </w:r>
      <w:r>
        <w:rPr>
          <w:rFonts w:hint="eastAsia" w:ascii="宋体" w:hAnsi="宋体" w:eastAsia="宋体" w:cs="宋体"/>
          <w:color w:val="000000" w:themeColor="text1"/>
          <w:highlight w:val="none"/>
          <w:u w:val="single"/>
          <w:lang w:val="en-US"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自甲方解除</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通知送达乙方时解除。</w:t>
      </w:r>
    </w:p>
    <w:p w14:paraId="2527FF86">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lang w:eastAsia="zh-CN"/>
          <w14:textFill>
            <w14:solidFill>
              <w14:schemeClr w14:val="tx1"/>
            </w14:solidFill>
          </w14:textFill>
        </w:rPr>
        <w:t>需特别约定的</w:t>
      </w:r>
      <w:r>
        <w:rPr>
          <w:rFonts w:hint="eastAsia" w:ascii="宋体" w:hAnsi="宋体" w:eastAsia="宋体" w:cs="宋体"/>
          <w:b w:val="0"/>
          <w:bCs w:val="0"/>
          <w:color w:val="000000" w:themeColor="text1"/>
          <w:highlight w:val="none"/>
          <w:lang w:val="en-US" w:eastAsia="zh-CN"/>
          <w14:textFill>
            <w14:solidFill>
              <w14:schemeClr w14:val="tx1"/>
            </w14:solidFill>
          </w14:textFill>
        </w:rPr>
        <w:t>产品验收、检验与救济方式</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详见技术协议 </w:t>
      </w:r>
      <w:r>
        <w:rPr>
          <w:rFonts w:ascii="宋体" w:hAnsi="宋体" w:eastAsia="宋体" w:cs="宋体"/>
          <w:color w:val="000000" w:themeColor="text1"/>
          <w:highlight w:val="none"/>
          <w:u w:val="single"/>
          <w:lang w:eastAsia="zh-CN"/>
          <w14:textFill>
            <w14:solidFill>
              <w14:schemeClr w14:val="tx1"/>
            </w14:solidFill>
          </w14:textFill>
        </w:rPr>
        <w:t>。</w:t>
      </w:r>
    </w:p>
    <w:p w14:paraId="5821DA2C">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七</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highlight w:val="none"/>
          <w:lang w:eastAsia="zh-CN"/>
          <w14:textFill>
            <w14:solidFill>
              <w14:schemeClr w14:val="tx1"/>
            </w14:solidFill>
          </w14:textFill>
        </w:rPr>
        <w:t>结算方式</w:t>
      </w:r>
    </w:p>
    <w:p w14:paraId="58BA58C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i w:val="0"/>
          <w:caps w:val="0"/>
          <w:color w:val="444444"/>
          <w:spacing w:val="0"/>
          <w:sz w:val="21"/>
          <w:szCs w:val="21"/>
          <w:highlight w:val="none"/>
          <w:u w:val="single"/>
          <w:shd w:val="clear" w:fill="FFFFFF"/>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结算方式</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i w:val="0"/>
          <w:caps w:val="0"/>
          <w:color w:val="444444"/>
          <w:spacing w:val="0"/>
          <w:sz w:val="21"/>
          <w:szCs w:val="21"/>
          <w:highlight w:val="none"/>
          <w:u w:val="single"/>
          <w:shd w:val="clear" w:fill="FFFFFF"/>
          <w:lang w:val="en-US" w:eastAsia="zh-CN"/>
        </w:rPr>
        <w:t>货到验收合格，发票入账次月起第3个月支付30%，第11个月支付60%，一年内无质量异议，第13个月支付10%质保金，一年内有质量问题未能解决,质保金不予支付。付款方式为承兑汇票。</w:t>
      </w:r>
    </w:p>
    <w:p w14:paraId="383E12A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第八条  违约责任</w:t>
      </w:r>
    </w:p>
    <w:p w14:paraId="45CBEDD6">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8.1延迟交货。乙方未按合同约定的时间交货，每逾期</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1天 </w:t>
      </w:r>
      <w:r>
        <w:rPr>
          <w:rFonts w:ascii="宋体" w:hAnsi="宋体" w:eastAsia="宋体" w:cs="宋体"/>
          <w:color w:val="000000" w:themeColor="text1"/>
          <w:highlight w:val="none"/>
          <w:lang w:eastAsia="zh-CN"/>
          <w14:textFill>
            <w14:solidFill>
              <w14:schemeClr w14:val="tx1"/>
            </w14:solidFill>
          </w14:textFill>
        </w:rPr>
        <w:t>，应向甲方支付延迟</w:t>
      </w:r>
      <w:r>
        <w:rPr>
          <w:rFonts w:hint="eastAsia" w:ascii="宋体" w:hAnsi="宋体" w:eastAsia="宋体" w:cs="宋体"/>
          <w:color w:val="000000" w:themeColor="text1"/>
          <w:highlight w:val="none"/>
          <w:lang w:val="en-US" w:eastAsia="zh-CN"/>
          <w14:textFill>
            <w14:solidFill>
              <w14:schemeClr w14:val="tx1"/>
            </w14:solidFill>
          </w14:textFill>
        </w:rPr>
        <w:t>交货部分货</w:t>
      </w:r>
      <w:r>
        <w:rPr>
          <w:rFonts w:hint="eastAsia" w:ascii="宋体" w:hAnsi="宋体" w:eastAsia="宋体" w:cs="宋体"/>
          <w:color w:val="000000" w:themeColor="text1"/>
          <w:sz w:val="21"/>
          <w:szCs w:val="21"/>
          <w:highlight w:val="none"/>
          <w:lang w:val="en-US" w:eastAsia="zh-CN"/>
          <w14:textFill>
            <w14:solidFill>
              <w14:schemeClr w14:val="tx1"/>
            </w14:solidFill>
          </w14:textFill>
        </w:rPr>
        <w:t>物总</w:t>
      </w:r>
      <w:r>
        <w:rPr>
          <w:rFonts w:ascii="宋体" w:hAnsi="宋体" w:eastAsia="宋体" w:cs="宋体"/>
          <w:color w:val="000000" w:themeColor="text1"/>
          <w:sz w:val="21"/>
          <w:szCs w:val="21"/>
          <w:highlight w:val="none"/>
          <w:lang w:eastAsia="zh-CN"/>
          <w14:textFill>
            <w14:solidFill>
              <w14:schemeClr w14:val="tx1"/>
            </w14:solidFill>
          </w14:textFill>
        </w:rPr>
        <w:t>金额的</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cs="宋体"/>
          <w:i w:val="0"/>
          <w:caps w:val="0"/>
          <w:color w:val="444444"/>
          <w:spacing w:val="0"/>
          <w:sz w:val="21"/>
          <w:szCs w:val="21"/>
          <w:highlight w:val="none"/>
          <w:u w:val="single"/>
          <w:shd w:val="clear" w:fill="FFFFFF"/>
        </w:rPr>
        <w:t>1‰</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1"/>
          <w:szCs w:val="21"/>
          <w:highlight w:val="none"/>
          <w:lang w:eastAsia="zh-CN"/>
          <w14:textFill>
            <w14:solidFill>
              <w14:schemeClr w14:val="tx1"/>
            </w14:solidFill>
          </w14:textFill>
        </w:rPr>
        <w:t>违约金，未按期交付超过30日以上的</w:t>
      </w:r>
      <w:r>
        <w:rPr>
          <w:rFonts w:hint="eastAsia" w:ascii="宋体" w:hAnsi="宋体" w:eastAsia="宋体" w:cs="宋体"/>
          <w:color w:val="000000" w:themeColor="text1"/>
          <w:sz w:val="21"/>
          <w:szCs w:val="21"/>
          <w:highlight w:val="none"/>
          <w:lang w:eastAsia="zh-CN"/>
          <w14:textFill>
            <w14:solidFill>
              <w14:schemeClr w14:val="tx1"/>
            </w14:solidFill>
          </w14:textFill>
        </w:rPr>
        <w:t>，视为拒不交货或不能交货</w:t>
      </w:r>
      <w:r>
        <w:rPr>
          <w:rFonts w:ascii="宋体" w:hAnsi="宋体" w:eastAsia="宋体" w:cs="宋体"/>
          <w:color w:val="000000" w:themeColor="text1"/>
          <w:sz w:val="21"/>
          <w:szCs w:val="21"/>
          <w:highlight w:val="none"/>
          <w:lang w:eastAsia="zh-CN"/>
          <w14:textFill>
            <w14:solidFill>
              <w14:schemeClr w14:val="tx1"/>
            </w14:solidFill>
          </w14:textFill>
        </w:rPr>
        <w:t>，甲方有权单方解除本合同，</w:t>
      </w:r>
      <w:r>
        <w:rPr>
          <w:rFonts w:hint="eastAsia" w:ascii="宋体" w:hAnsi="宋体" w:eastAsia="宋体" w:cs="宋体"/>
          <w:color w:val="000000" w:themeColor="text1"/>
          <w:sz w:val="21"/>
          <w:szCs w:val="21"/>
          <w:highlight w:val="none"/>
          <w:lang w:eastAsia="zh-CN"/>
          <w14:textFill>
            <w14:solidFill>
              <w14:schemeClr w14:val="tx1"/>
            </w14:solidFill>
          </w14:textFill>
        </w:rPr>
        <w:t>并要求乙方按照本合</w:t>
      </w:r>
      <w:r>
        <w:rPr>
          <w:rFonts w:hint="eastAsia" w:ascii="宋体" w:hAnsi="宋体" w:eastAsia="宋体" w:cs="宋体"/>
          <w:color w:val="000000" w:themeColor="text1"/>
          <w:highlight w:val="none"/>
          <w:lang w:eastAsia="zh-CN"/>
          <w14:textFill>
            <w14:solidFill>
              <w14:schemeClr w14:val="tx1"/>
            </w14:solidFill>
          </w14:textFill>
        </w:rPr>
        <w:t>同总额的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10% </w:t>
      </w:r>
      <w:r>
        <w:rPr>
          <w:rFonts w:hint="eastAsia" w:ascii="宋体" w:hAnsi="宋体" w:eastAsia="宋体" w:cs="宋体"/>
          <w:color w:val="000000" w:themeColor="text1"/>
          <w:highlight w:val="none"/>
          <w:lang w:eastAsia="zh-CN"/>
          <w14:textFill>
            <w14:solidFill>
              <w14:schemeClr w14:val="tx1"/>
            </w14:solidFill>
          </w14:textFill>
        </w:rPr>
        <w:t>支付违约金及因此给甲方造成的全部损失（包括但不限于另行采购的差价损失）。</w:t>
      </w:r>
    </w:p>
    <w:p w14:paraId="7D46B52D">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8.2</w:t>
      </w:r>
      <w:r>
        <w:rPr>
          <w:rFonts w:hint="eastAsia" w:ascii="宋体" w:hAnsi="宋体" w:eastAsia="宋体" w:cs="宋体"/>
          <w:color w:val="000000" w:themeColor="text1"/>
          <w:highlight w:val="none"/>
          <w:lang w:eastAsia="zh-CN"/>
          <w14:textFill>
            <w14:solidFill>
              <w14:schemeClr w14:val="tx1"/>
            </w14:solidFill>
          </w14:textFill>
        </w:rPr>
        <w:t>已缴纳履约保证金的，</w:t>
      </w:r>
      <w:r>
        <w:rPr>
          <w:rFonts w:ascii="宋体" w:hAnsi="宋体" w:eastAsia="宋体" w:cs="宋体"/>
          <w:color w:val="000000" w:themeColor="text1"/>
          <w:highlight w:val="none"/>
          <w:lang w:eastAsia="zh-CN"/>
          <w14:textFill>
            <w14:solidFill>
              <w14:schemeClr w14:val="tx1"/>
            </w14:solidFill>
          </w14:textFill>
        </w:rPr>
        <w:t>乙方不履行合同约定的义务或其履行不符合合同的约定</w:t>
      </w:r>
      <w:r>
        <w:rPr>
          <w:rFonts w:hint="eastAsia" w:ascii="宋体" w:hAnsi="宋体" w:eastAsia="宋体" w:cs="宋体"/>
          <w:color w:val="000000" w:themeColor="text1"/>
          <w:highlight w:val="none"/>
          <w:lang w:eastAsia="zh-CN"/>
          <w14:textFill>
            <w14:solidFill>
              <w14:schemeClr w14:val="tx1"/>
            </w14:solidFill>
          </w14:textFill>
        </w:rPr>
        <w:t>时</w:t>
      </w:r>
      <w:r>
        <w:rPr>
          <w:rFonts w:ascii="宋体" w:hAnsi="宋体" w:eastAsia="宋体" w:cs="宋体"/>
          <w:color w:val="000000" w:themeColor="text1"/>
          <w:highlight w:val="none"/>
          <w:lang w:eastAsia="zh-CN"/>
          <w14:textFill>
            <w14:solidFill>
              <w14:schemeClr w14:val="tx1"/>
            </w14:solidFill>
          </w14:textFill>
        </w:rPr>
        <w:t>，甲方有权扣</w:t>
      </w:r>
      <w:r>
        <w:rPr>
          <w:rFonts w:hint="eastAsia" w:ascii="宋体" w:hAnsi="宋体" w:eastAsia="宋体" w:cs="宋体"/>
          <w:color w:val="000000" w:themeColor="text1"/>
          <w:highlight w:val="none"/>
          <w:lang w:val="en-US" w:eastAsia="zh-CN"/>
          <w14:textFill>
            <w14:solidFill>
              <w14:schemeClr w14:val="tx1"/>
            </w14:solidFill>
          </w14:textFill>
        </w:rPr>
        <w:t>除</w:t>
      </w:r>
      <w:r>
        <w:rPr>
          <w:rFonts w:ascii="宋体" w:hAnsi="宋体" w:eastAsia="宋体" w:cs="宋体"/>
          <w:color w:val="000000" w:themeColor="text1"/>
          <w:highlight w:val="none"/>
          <w:lang w:eastAsia="zh-CN"/>
          <w14:textFill>
            <w14:solidFill>
              <w14:schemeClr w14:val="tx1"/>
            </w14:solidFill>
          </w14:textFill>
        </w:rPr>
        <w:t>全部履约保证金。</w:t>
      </w:r>
    </w:p>
    <w:p w14:paraId="1EBF3832">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8.3需特别约定的违约责任：</w:t>
      </w:r>
      <w:r>
        <w:rPr>
          <w:rFonts w:ascii="宋体" w:hAnsi="宋体" w:eastAsia="宋体" w:cs="宋体"/>
          <w:i w:val="0"/>
          <w:iCs w:val="0"/>
          <w:caps w:val="0"/>
          <w:color w:val="444444"/>
          <w:spacing w:val="0"/>
          <w:sz w:val="21"/>
          <w:szCs w:val="21"/>
          <w:highlight w:val="none"/>
          <w:u w:val="single"/>
          <w:shd w:val="clear" w:fill="FFFFFF"/>
        </w:rPr>
        <w:t>出卖人交付产品须符合应急管理部、国家矿山安全监察局及安标中心（MA）最新发布的矿用产品安全标准、技术规范及管理要求，且与安标中心认证备案的技术文件（含技术参数、结构设计、关键部件清单等）完全一致；严禁未经安标中心书面批准，擅自变更任何影响安标认证有效性的内容（包括但不限于技术参数调整、关键部件替换、结构设计修改、材料变更等）。若发生上述擅自变更行为，由此引发的安全责任、合规处罚、合同违约及买方经济损失等全部责任，均由出卖人承担。合同履行期间，出卖人所持本合同项下物资“产品合格证”“煤矿矿用产品安全标志认证”“3C认证”“防爆合格证”“生产许可证”等相关资质证件出现被暂停、被吊销、有效期届满等失效情形，出卖人应在收到买受人通知之日起15日内采取有效补救措施（包括但不限于重新申办、补办证件等）。出卖人提出的补救措施无法满足买受人生产需求的，视为无正当理由拒不履行合同，买受人有权单方解除本合同，出卖人同意按照《物资采购廉洁合同》约定和《物资分公司供应商管理办法》规定进行处理</w:t>
      </w:r>
      <w:r>
        <w:rPr>
          <w:rFonts w:ascii="宋体" w:hAnsi="宋体" w:eastAsia="宋体" w:cs="宋体"/>
          <w:i w:val="0"/>
          <w:iCs w:val="0"/>
          <w:caps w:val="0"/>
          <w:color w:val="444444"/>
          <w:spacing w:val="0"/>
          <w:sz w:val="21"/>
          <w:szCs w:val="21"/>
          <w:highlight w:val="none"/>
          <w:shd w:val="clear" w:fill="FFFFFF"/>
        </w:rPr>
        <w:t>。</w:t>
      </w:r>
    </w:p>
    <w:p w14:paraId="10EDB6B3">
      <w:pPr>
        <w:keepNext w:val="0"/>
        <w:keepLines w:val="0"/>
        <w:pageBreakBefore w:val="0"/>
        <w:widowControl w:val="0"/>
        <w:kinsoku/>
        <w:wordWrap/>
        <w:overflowPunct/>
        <w:topLinePunct w:val="0"/>
        <w:autoSpaceDE/>
        <w:autoSpaceDN/>
        <w:bidi w:val="0"/>
        <w:adjustRightInd/>
        <w:snapToGrid/>
        <w:spacing w:line="280" w:lineRule="exact"/>
        <w:ind w:firstLine="420"/>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第九条  知识产权</w:t>
      </w:r>
    </w:p>
    <w:p w14:paraId="463A3E9B">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9.1乙方须保证甲方及最终用户使用产品、服务等任何部分不侵犯第三方关于专利权、商标权、著作权等知识产权或工业设计等方面的合法权利，与该产品或服务有关的任何纠纷，均由乙方负责处理并承担责任，甲方不承担任何责任和费用，因此造成甲方损失的，乙方承担全部赔偿责任。</w:t>
      </w:r>
    </w:p>
    <w:p w14:paraId="5C3F4B11">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第十条 产品服务与保证</w:t>
      </w:r>
    </w:p>
    <w:p w14:paraId="3856D5E9">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1产品服务</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乙方应配备充足的技术人员，并根据甲方要求，通过进行电话联系或派遣技术熟练、称职的技术人员及时到现场提供服务。如果乙方技术人员不合格，甲方有权要求乙方撤换。甲方为乙方技术人员提供工作条件及便利，包括但不限于必要的办公场所及出入许可等。</w:t>
      </w:r>
    </w:p>
    <w:p w14:paraId="6BEEC2D5">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 保证</w:t>
      </w:r>
    </w:p>
    <w:p w14:paraId="7FE58650">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2.1履约保证。</w:t>
      </w:r>
    </w:p>
    <w:p w14:paraId="036A214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A3"/>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产品需要缴纳履约保证金。乙方在合同签订前向甲方交纳</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none"/>
          <w:u w:val="single"/>
          <w:shd w:val="clear" w:fill="FFFFFF"/>
        </w:rPr>
        <w:t>/</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元，</w:t>
      </w:r>
      <w:r>
        <w:rPr>
          <w:rFonts w:hint="eastAsia" w:ascii="宋体" w:hAnsi="宋体" w:eastAsia="宋体" w:cs="宋体"/>
          <w:color w:val="auto"/>
          <w:highlight w:val="none"/>
          <w:lang w:val="en-US" w:eastAsia="zh-CN"/>
        </w:rPr>
        <w:t>保证金的担保责任自本合同生效之日起成立</w:t>
      </w:r>
      <w:r>
        <w:rPr>
          <w:rFonts w:hint="eastAsia" w:ascii="宋体" w:hAnsi="宋体" w:eastAsia="宋体" w:cs="宋体"/>
          <w:color w:val="000000" w:themeColor="text1"/>
          <w:highlight w:val="none"/>
          <w:lang w:val="en-US" w:eastAsia="zh-CN"/>
          <w14:textFill>
            <w14:solidFill>
              <w14:schemeClr w14:val="tx1"/>
            </w14:solidFill>
          </w14:textFill>
        </w:rPr>
        <w:t>，待合同履行完毕无违约问题，一次性无息返还。</w:t>
      </w:r>
    </w:p>
    <w:p w14:paraId="7A060CEE">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52"/>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产品不需要缴纳履约保证金。</w:t>
      </w:r>
    </w:p>
    <w:p w14:paraId="1EBC7D65">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2.2 扣款保证。本合同约定违约金或经济损失的赔偿款，甲方有权从乙方任意一笔货款或履约保证金中直接</w:t>
      </w:r>
      <w:r>
        <w:rPr>
          <w:rFonts w:hint="eastAsia" w:ascii="宋体" w:hAnsi="宋体" w:eastAsia="宋体" w:cs="宋体"/>
          <w:color w:val="000000" w:themeColor="text1"/>
          <w:highlight w:val="none"/>
          <w:lang w:eastAsia="zh-CN"/>
          <w14:textFill>
            <w14:solidFill>
              <w14:schemeClr w14:val="tx1"/>
            </w14:solidFill>
          </w14:textFill>
        </w:rPr>
        <w:t>扣除</w:t>
      </w:r>
      <w:r>
        <w:rPr>
          <w:rFonts w:ascii="宋体" w:hAnsi="宋体" w:eastAsia="宋体" w:cs="宋体"/>
          <w:color w:val="000000" w:themeColor="text1"/>
          <w:highlight w:val="none"/>
          <w:lang w:eastAsia="zh-CN"/>
          <w14:textFill>
            <w14:solidFill>
              <w14:schemeClr w14:val="tx1"/>
            </w14:solidFill>
          </w14:textFill>
        </w:rPr>
        <w:t>，不足部分由乙方现金补足。</w:t>
      </w:r>
    </w:p>
    <w:p w14:paraId="4E13EE9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需特别约定的产品服务与保证：</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详见技术协议 </w:t>
      </w:r>
      <w:r>
        <w:rPr>
          <w:rFonts w:hint="eastAsia" w:ascii="宋体" w:hAnsi="宋体" w:eastAsia="宋体" w:cs="宋体"/>
          <w:color w:val="000000" w:themeColor="text1"/>
          <w:highlight w:val="none"/>
          <w:u w:val="none"/>
          <w:lang w:val="en-US" w:eastAsia="zh-CN"/>
          <w14:textFill>
            <w14:solidFill>
              <w14:schemeClr w14:val="tx1"/>
            </w14:solidFill>
          </w14:textFill>
        </w:rPr>
        <w:t>。</w:t>
      </w:r>
    </w:p>
    <w:p w14:paraId="78778FD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一</w:t>
      </w:r>
      <w:r>
        <w:rPr>
          <w:rFonts w:ascii="宋体" w:hAnsi="宋体" w:eastAsia="宋体" w:cs="宋体"/>
          <w:b/>
          <w:bCs/>
          <w:color w:val="000000" w:themeColor="text1"/>
          <w:highlight w:val="none"/>
          <w:lang w:eastAsia="zh-CN"/>
          <w14:textFill>
            <w14:solidFill>
              <w14:schemeClr w14:val="tx1"/>
            </w14:solidFill>
          </w14:textFill>
        </w:rPr>
        <w:t>条 合同转让、变更、解除</w:t>
      </w:r>
    </w:p>
    <w:p w14:paraId="1E93F430">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.1合同任何一方均不得</w:t>
      </w:r>
      <w:r>
        <w:rPr>
          <w:rFonts w:hint="eastAsia" w:ascii="宋体" w:hAnsi="宋体" w:eastAsia="宋体" w:cs="宋体"/>
          <w:color w:val="000000" w:themeColor="text1"/>
          <w:highlight w:val="none"/>
          <w:lang w:eastAsia="zh-CN"/>
          <w14:textFill>
            <w14:solidFill>
              <w14:schemeClr w14:val="tx1"/>
            </w14:solidFill>
          </w14:textFill>
        </w:rPr>
        <w:t>擅自</w:t>
      </w:r>
      <w:r>
        <w:rPr>
          <w:rFonts w:ascii="宋体" w:hAnsi="宋体" w:eastAsia="宋体" w:cs="宋体"/>
          <w:color w:val="000000" w:themeColor="text1"/>
          <w:highlight w:val="none"/>
          <w:lang w:eastAsia="zh-CN"/>
          <w14:textFill>
            <w14:solidFill>
              <w14:schemeClr w14:val="tx1"/>
            </w14:solidFill>
          </w14:textFill>
        </w:rPr>
        <w:t>转让其在本合同项下的权利和义务。</w:t>
      </w:r>
    </w:p>
    <w:p w14:paraId="1E98DD04">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.2双方当事人协商一致，可以签订书面补充</w:t>
      </w:r>
      <w:r>
        <w:rPr>
          <w:rFonts w:hint="eastAsia" w:ascii="宋体" w:hAnsi="宋体" w:eastAsia="宋体" w:cs="宋体"/>
          <w:color w:val="000000" w:themeColor="text1"/>
          <w:highlight w:val="none"/>
          <w:lang w:eastAsia="zh-CN"/>
          <w14:textFill>
            <w14:solidFill>
              <w14:schemeClr w14:val="tx1"/>
            </w14:solidFill>
          </w14:textFill>
        </w:rPr>
        <w:t>合同</w:t>
      </w:r>
      <w:r>
        <w:rPr>
          <w:rFonts w:ascii="宋体" w:hAnsi="宋体" w:eastAsia="宋体" w:cs="宋体"/>
          <w:color w:val="000000" w:themeColor="text1"/>
          <w:highlight w:val="none"/>
          <w:lang w:eastAsia="zh-CN"/>
          <w14:textFill>
            <w14:solidFill>
              <w14:schemeClr w14:val="tx1"/>
            </w14:solidFill>
          </w14:textFill>
        </w:rPr>
        <w:t>的形式变更合同，乙方有过失的应当承担相应责任。</w:t>
      </w:r>
    </w:p>
    <w:p w14:paraId="1671D82D">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.3有下述情形之一，当事人可发出书面通知全部或部分解除合同，合同自通知到达对方时全部或部分解除：</w:t>
      </w:r>
    </w:p>
    <w:p w14:paraId="03ACDA7B">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乙方因违反甲方《物资采购廉洁合同》约定事项和《物资分公司供应商管理办法》规定事项被停用、禁用时，甲方有权单方解除本合同；</w:t>
      </w:r>
    </w:p>
    <w:p w14:paraId="4B8C579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（2）</w:t>
      </w:r>
      <w:r>
        <w:rPr>
          <w:rFonts w:ascii="宋体" w:hAnsi="宋体" w:eastAsia="宋体" w:cs="宋体"/>
          <w:color w:val="000000" w:themeColor="text1"/>
          <w:highlight w:val="none"/>
          <w:lang w:eastAsia="zh-CN"/>
          <w14:textFill>
            <w14:solidFill>
              <w14:schemeClr w14:val="tx1"/>
            </w14:solidFill>
          </w14:textFill>
        </w:rPr>
        <w:t>合同一方当事人无法继续履行或明确表示不履行或实质上已停止履行合同；</w:t>
      </w:r>
    </w:p>
    <w:p w14:paraId="6D545261">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）产品未能达到质量标准（技术要求）；</w:t>
      </w:r>
    </w:p>
    <w:p w14:paraId="65DADBBD">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）合同一方当事人出现破产、清算、资不抵债、成为失信被执行人等可能丧失履约能力的情形；</w:t>
      </w:r>
    </w:p>
    <w:p w14:paraId="105A7249">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）因不可抗力不能实现合同目的</w:t>
      </w:r>
      <w:r>
        <w:rPr>
          <w:rFonts w:hint="eastAsia" w:ascii="宋体" w:hAnsi="宋体" w:eastAsia="宋体" w:cs="宋体"/>
          <w:color w:val="000000" w:themeColor="text1"/>
          <w:highlight w:val="none"/>
          <w:lang w:eastAsia="zh-CN"/>
          <w14:textFill>
            <w14:solidFill>
              <w14:schemeClr w14:val="tx1"/>
            </w14:solidFill>
          </w14:textFill>
        </w:rPr>
        <w:t>；</w:t>
      </w:r>
    </w:p>
    <w:p w14:paraId="07B6C4B3">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lang w:eastAsia="zh-CN"/>
          <w14:textFill>
            <w14:solidFill>
              <w14:schemeClr w14:val="tx1"/>
            </w14:solidFill>
          </w14:textFill>
        </w:rPr>
        <w:t>）其他导致合同解除的情形。</w:t>
      </w:r>
    </w:p>
    <w:p w14:paraId="7C6A858F">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二</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eastAsia="zh-CN"/>
          <w14:textFill>
            <w14:solidFill>
              <w14:schemeClr w14:val="tx1"/>
            </w14:solidFill>
          </w14:textFill>
        </w:rPr>
        <w:t xml:space="preserve"> 争议解决方式</w:t>
      </w:r>
    </w:p>
    <w:p w14:paraId="356F4750">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12.</w:t>
      </w:r>
      <w:r>
        <w:rPr>
          <w:rFonts w:ascii="宋体" w:hAnsi="宋体" w:eastAsia="宋体" w:cs="宋体"/>
          <w:color w:val="000000" w:themeColor="text1"/>
          <w:highlight w:val="none"/>
          <w:lang w:eastAsia="zh-CN"/>
          <w14:textFill>
            <w14:solidFill>
              <w14:schemeClr w14:val="tx1"/>
            </w14:solidFill>
          </w14:textFill>
        </w:rPr>
        <w:t>1本合同在履行过程中发生的争议，由双方当事人协商解决</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协商不成的，依法向合同签订地人民法院起诉。</w:t>
      </w:r>
    </w:p>
    <w:p w14:paraId="546A69ED">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三</w:t>
      </w:r>
      <w:r>
        <w:rPr>
          <w:rFonts w:ascii="宋体" w:hAnsi="宋体" w:eastAsia="宋体" w:cs="宋体"/>
          <w:b/>
          <w:bCs/>
          <w:color w:val="000000" w:themeColor="text1"/>
          <w:highlight w:val="none"/>
          <w:lang w:eastAsia="zh-CN"/>
          <w14:textFill>
            <w14:solidFill>
              <w14:schemeClr w14:val="tx1"/>
            </w14:solidFill>
          </w14:textFill>
        </w:rPr>
        <w:t>条合同签订、生效、期限</w:t>
      </w:r>
    </w:p>
    <w:p w14:paraId="46A9470C">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.1乙方应在采购文件规定的响应有效期内与甲方完成合同签订</w:t>
      </w:r>
      <w:r>
        <w:rPr>
          <w:rFonts w:hint="eastAsia" w:ascii="宋体" w:hAnsi="宋体" w:eastAsia="宋体" w:cs="宋体"/>
          <w:color w:val="000000" w:themeColor="text1"/>
          <w:highlight w:val="none"/>
          <w:lang w:eastAsia="zh-CN"/>
          <w14:textFill>
            <w14:solidFill>
              <w14:schemeClr w14:val="tx1"/>
            </w14:solidFill>
          </w14:textFill>
        </w:rPr>
        <w:t>。</w:t>
      </w:r>
    </w:p>
    <w:p w14:paraId="1D729D34">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2乙方投标（响应）文件内各项本应作拒绝处理的情形即便未被及时发现而使乙方进入初审、详细评审或其它后续程序，包括已经签约的情形，在任何时间被发现，甲方均有权决定是否取消乙方此前评议的结果或是否解除合同，并有权采取相应的补救或纠正措施</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乙方被取消此前评议结果或解除合同</w:t>
      </w:r>
      <w:r>
        <w:rPr>
          <w:rFonts w:hint="eastAsia" w:ascii="宋体" w:hAnsi="宋体" w:eastAsia="宋体" w:cs="宋体"/>
          <w:color w:val="000000" w:themeColor="text1"/>
          <w:highlight w:val="none"/>
          <w:lang w:eastAsia="zh-CN"/>
          <w14:textFill>
            <w14:solidFill>
              <w14:schemeClr w14:val="tx1"/>
            </w14:solidFill>
          </w14:textFill>
        </w:rPr>
        <w:t>的</w:t>
      </w:r>
      <w:r>
        <w:rPr>
          <w:rFonts w:ascii="宋体" w:hAnsi="宋体" w:eastAsia="宋体" w:cs="宋体"/>
          <w:color w:val="000000" w:themeColor="text1"/>
          <w:highlight w:val="none"/>
          <w:lang w:eastAsia="zh-CN"/>
          <w14:textFill>
            <w14:solidFill>
              <w14:schemeClr w14:val="tx1"/>
            </w14:solidFill>
          </w14:textFill>
        </w:rPr>
        <w:t>，相关的一切责任均由乙方自行承担。</w:t>
      </w:r>
    </w:p>
    <w:p w14:paraId="348F3306">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.3甲乙双</w:t>
      </w:r>
      <w:r>
        <w:rPr>
          <w:rFonts w:ascii="宋体" w:hAnsi="宋体" w:eastAsia="宋体" w:cs="宋体"/>
          <w:color w:val="000000" w:themeColor="text1"/>
          <w:sz w:val="21"/>
          <w:szCs w:val="21"/>
          <w:highlight w:val="none"/>
          <w:lang w:eastAsia="zh-CN"/>
          <w14:textFill>
            <w14:solidFill>
              <w14:schemeClr w14:val="tx1"/>
            </w14:solidFill>
          </w14:textFill>
        </w:rPr>
        <w:t>方的开户银行、账号必须在本合同上注明，乙</w:t>
      </w:r>
      <w:r>
        <w:rPr>
          <w:rFonts w:hint="eastAsia" w:ascii="宋体" w:hAnsi="宋体" w:eastAsia="宋体" w:cs="宋体"/>
          <w:color w:val="000000" w:themeColor="text1"/>
          <w:sz w:val="21"/>
          <w:szCs w:val="21"/>
          <w:highlight w:val="none"/>
          <w:lang w:val="en-US" w:eastAsia="zh-CN"/>
          <w14:textFill>
            <w14:solidFill>
              <w14:schemeClr w14:val="tx1"/>
            </w14:solidFill>
          </w14:textFill>
        </w:rPr>
        <w:t>方变更收款账户的，须经乙方书面确认并加盖公章及财务专用章。</w:t>
      </w:r>
    </w:p>
    <w:p w14:paraId="7906C203">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本合同自双方加盖</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经北京天威诚信数字认证中心认证且在淮北矿业电子商务采购平台授权使用的电子签章</w:t>
      </w:r>
      <w:r>
        <w:rPr>
          <w:rFonts w:hint="eastAsia" w:ascii="宋体" w:hAnsi="宋体" w:eastAsia="宋体" w:cs="宋体"/>
          <w:color w:val="000000" w:themeColor="text1"/>
          <w:sz w:val="21"/>
          <w:szCs w:val="21"/>
          <w:highlight w:val="none"/>
          <w:lang w:eastAsia="zh-CN"/>
          <w14:textFill>
            <w14:solidFill>
              <w14:schemeClr w14:val="tx1"/>
            </w14:solidFill>
          </w14:textFill>
        </w:rPr>
        <w:t>之日起生效。本合同一式</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叄</w:t>
      </w:r>
      <w:r>
        <w:rPr>
          <w:rFonts w:hint="eastAsia" w:ascii="宋体" w:hAnsi="宋体" w:eastAsia="宋体" w:cs="宋体"/>
          <w:color w:val="000000" w:themeColor="text1"/>
          <w:sz w:val="21"/>
          <w:szCs w:val="21"/>
          <w:highlight w:val="none"/>
          <w:lang w:eastAsia="zh-CN"/>
          <w14:textFill>
            <w14:solidFill>
              <w14:schemeClr w14:val="tx1"/>
            </w14:solidFill>
          </w14:textFill>
        </w:rPr>
        <w:t>份。乙方</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壹</w:t>
      </w:r>
      <w:r>
        <w:rPr>
          <w:rFonts w:hint="eastAsia" w:ascii="宋体" w:hAnsi="宋体" w:eastAsia="宋体" w:cs="宋体"/>
          <w:color w:val="000000" w:themeColor="text1"/>
          <w:sz w:val="21"/>
          <w:szCs w:val="21"/>
          <w:highlight w:val="none"/>
          <w:lang w:eastAsia="zh-CN"/>
          <w14:textFill>
            <w14:solidFill>
              <w14:schemeClr w14:val="tx1"/>
            </w14:solidFill>
          </w14:textFill>
        </w:rPr>
        <w:t>份，甲方</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贰</w:t>
      </w:r>
      <w:r>
        <w:rPr>
          <w:rFonts w:hint="eastAsia" w:ascii="宋体" w:hAnsi="宋体" w:eastAsia="宋体" w:cs="宋体"/>
          <w:color w:val="000000" w:themeColor="text1"/>
          <w:sz w:val="21"/>
          <w:szCs w:val="21"/>
          <w:highlight w:val="none"/>
          <w:lang w:eastAsia="zh-CN"/>
          <w14:textFill>
            <w14:solidFill>
              <w14:schemeClr w14:val="tx1"/>
            </w14:solidFill>
          </w14:textFill>
        </w:rPr>
        <w:t>份</w:t>
      </w:r>
      <w:r>
        <w:rPr>
          <w:rFonts w:hint="eastAsia" w:ascii="宋体" w:hAnsi="宋体" w:eastAsia="宋体" w:cs="宋体"/>
          <w:color w:val="000000" w:themeColor="text1"/>
          <w:highlight w:val="none"/>
          <w:lang w:eastAsia="zh-CN"/>
          <w14:textFill>
            <w14:solidFill>
              <w14:schemeClr w14:val="tx1"/>
            </w14:solidFill>
          </w14:textFill>
        </w:rPr>
        <w:t>。</w:t>
      </w:r>
    </w:p>
    <w:p w14:paraId="2B3592D5">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第十四条 其他事项</w:t>
      </w:r>
    </w:p>
    <w:p w14:paraId="2CD9F4B0">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14.1</w:t>
      </w:r>
      <w:r>
        <w:rPr>
          <w:rFonts w:hint="eastAsia" w:ascii="宋体" w:hAnsi="宋体" w:eastAsia="宋体" w:cs="宋体"/>
          <w:color w:val="000000" w:themeColor="text1"/>
          <w:highlight w:val="none"/>
          <w:lang w:eastAsia="zh-CN"/>
          <w14:textFill>
            <w14:solidFill>
              <w14:schemeClr w14:val="tx1"/>
            </w14:solidFill>
          </w14:textFill>
        </w:rPr>
        <w:t>开具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税率13 </w:t>
      </w:r>
      <w:r>
        <w:rPr>
          <w:rFonts w:hint="eastAsia" w:ascii="宋体" w:hAnsi="宋体" w:eastAsia="宋体" w:cs="宋体"/>
          <w:color w:val="000000" w:themeColor="text1"/>
          <w:highlight w:val="none"/>
          <w:lang w:eastAsia="zh-CN"/>
          <w14:textFill>
            <w14:solidFill>
              <w14:schemeClr w14:val="tx1"/>
            </w14:solidFill>
          </w14:textFill>
        </w:rPr>
        <w:t>%增值税</w:t>
      </w:r>
      <w:r>
        <w:rPr>
          <w:rFonts w:hint="eastAsia" w:ascii="宋体" w:hAnsi="宋体" w:eastAsia="宋体" w:cs="宋体"/>
          <w:color w:val="000000" w:themeColor="text1"/>
          <w:highlight w:val="none"/>
          <w:lang w:val="en-US" w:eastAsia="zh-CN"/>
          <w14:textFill>
            <w14:solidFill>
              <w14:schemeClr w14:val="tx1"/>
            </w14:solidFill>
          </w14:textFill>
        </w:rPr>
        <w:t>专用</w:t>
      </w:r>
      <w:r>
        <w:rPr>
          <w:rFonts w:hint="eastAsia" w:ascii="宋体" w:hAnsi="宋体" w:eastAsia="宋体" w:cs="宋体"/>
          <w:color w:val="000000" w:themeColor="text1"/>
          <w:highlight w:val="none"/>
          <w:lang w:eastAsia="zh-CN"/>
          <w14:textFill>
            <w14:solidFill>
              <w14:schemeClr w14:val="tx1"/>
            </w14:solidFill>
          </w14:textFill>
        </w:rPr>
        <w:t>发票（如遇国家增值税政策调整，以开票之日标准税率开具，并相应调整合同含税金额,不含税金额不变）。</w:t>
      </w:r>
    </w:p>
    <w:p w14:paraId="08B5496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14.2乙方同意遵守甲方《物资采购廉洁合同》约定事项和《物资分公司供应商管理办法》规定事项，并已完全知晓相关规定，发生违反约定和违规行为的，乙方同意按照《物资采购廉洁合同》约定和《物资分公司供应商管理办法》规定进行处理。</w:t>
      </w:r>
    </w:p>
    <w:p w14:paraId="421345E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14.3通知与送达条款：双方确认本合同所载住所地址为有效送达地址，任何书面通知发至该地址（含电子邮件）即视为送达，变更地址须提前三日书面通知对方。</w:t>
      </w:r>
    </w:p>
    <w:p w14:paraId="5E4DC80C">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14.4</w:t>
      </w:r>
      <w:r>
        <w:rPr>
          <w:rFonts w:hint="eastAsia" w:ascii="宋体" w:hAnsi="宋体" w:eastAsia="宋体" w:cs="宋体"/>
          <w:color w:val="000000" w:themeColor="text1"/>
          <w:highlight w:val="none"/>
          <w:lang w:eastAsia="zh-CN"/>
          <w14:textFill>
            <w14:solidFill>
              <w14:schemeClr w14:val="tx1"/>
            </w14:solidFill>
          </w14:textFill>
        </w:rPr>
        <w:t>需特别约定的其他事项：</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无 </w:t>
      </w:r>
      <w:r>
        <w:rPr>
          <w:rFonts w:ascii="宋体" w:hAnsi="宋体" w:eastAsia="宋体" w:cs="宋体"/>
          <w:color w:val="000000" w:themeColor="text1"/>
          <w:highlight w:val="none"/>
          <w:u w:val="none"/>
          <w:lang w:eastAsia="zh-CN"/>
          <w14:textFill>
            <w14:solidFill>
              <w14:schemeClr w14:val="tx1"/>
            </w14:solidFill>
          </w14:textFill>
        </w:rPr>
        <w:t>。</w:t>
      </w:r>
    </w:p>
    <w:p w14:paraId="39302AAE">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b/>
          <w:bCs/>
          <w:color w:val="000000" w:themeColor="text1"/>
          <w:highlight w:val="none"/>
          <w:u w:val="single"/>
          <w:lang w:eastAsia="zh-CN"/>
          <w14:textFill>
            <w14:solidFill>
              <w14:schemeClr w14:val="tx1"/>
            </w14:solidFill>
          </w14:textFill>
        </w:rPr>
      </w:pPr>
      <w:r>
        <w:rPr>
          <w:rFonts w:hint="eastAsia" w:ascii="宋体" w:hAnsi="宋体" w:eastAsia="宋体" w:cs="宋体"/>
          <w:b/>
          <w:bCs/>
          <w:color w:val="000000" w:themeColor="text1"/>
          <w:highlight w:val="none"/>
          <w:u w:val="single"/>
          <w:lang w:eastAsia="zh-CN"/>
          <w14:textFill>
            <w14:solidFill>
              <w14:schemeClr w14:val="tx1"/>
            </w14:solidFill>
          </w14:textFill>
        </w:rPr>
        <w:t>特别提醒：甲方已采取合理方式提请乙方注意本合同项下免除或限制其责任的条款，双方确认：在签署本合同时已就全部条款进行了详细地讨论和说明，对合同的全部条款均无异议，并对合同中有关权利义务和责任限制或免除条款的法律含义有准确无误的理解。</w:t>
      </w:r>
    </w:p>
    <w:p w14:paraId="23D487B5">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p>
    <w:tbl>
      <w:tblPr>
        <w:tblStyle w:val="206"/>
        <w:tblW w:w="10470" w:type="dxa"/>
        <w:tblInd w:w="159" w:type="dxa"/>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
      <w:tblGrid>
        <w:gridCol w:w="4994"/>
        <w:gridCol w:w="5476"/>
      </w:tblGrid>
      <w:tr w14:paraId="2C4FA546">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2A835FEE">
            <w:pPr>
              <w:pStyle w:val="207"/>
              <w:keepNext w:val="0"/>
              <w:keepLines w:val="0"/>
              <w:pageBreakBefore w:val="0"/>
              <w:widowControl w:val="0"/>
              <w:wordWrap/>
              <w:overflowPunct/>
              <w:topLinePunct w:val="0"/>
              <w:bidi w:val="0"/>
              <w:spacing w:before="34" w:line="280" w:lineRule="exact"/>
              <w:ind w:left="1686"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甲方</w:t>
            </w:r>
          </w:p>
        </w:tc>
        <w:tc>
          <w:tcPr>
            <w:tcW w:w="5476" w:type="dxa"/>
            <w:vAlign w:val="top"/>
          </w:tcPr>
          <w:p w14:paraId="21C28603">
            <w:pPr>
              <w:pStyle w:val="207"/>
              <w:keepNext w:val="0"/>
              <w:keepLines w:val="0"/>
              <w:pageBreakBefore w:val="0"/>
              <w:widowControl w:val="0"/>
              <w:wordWrap/>
              <w:overflowPunct/>
              <w:topLinePunct w:val="0"/>
              <w:bidi w:val="0"/>
              <w:spacing w:before="34" w:line="280" w:lineRule="exact"/>
              <w:ind w:left="1714"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乙方</w:t>
            </w:r>
          </w:p>
        </w:tc>
      </w:tr>
      <w:tr w14:paraId="1BAF8206">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0" w:hRule="atLeast"/>
        </w:trPr>
        <w:tc>
          <w:tcPr>
            <w:tcW w:w="4994" w:type="dxa"/>
            <w:vAlign w:val="top"/>
          </w:tcPr>
          <w:p w14:paraId="2B7CA4CC">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章）：淮北矿业股份有限公司</w:t>
            </w:r>
          </w:p>
        </w:tc>
        <w:tc>
          <w:tcPr>
            <w:tcW w:w="5476" w:type="dxa"/>
            <w:vAlign w:val="center"/>
          </w:tcPr>
          <w:p w14:paraId="2D88CB2A">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w:t>
            </w:r>
          </w:p>
        </w:tc>
      </w:tr>
      <w:tr w14:paraId="6492BD81">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55A2C6F7">
            <w:pPr>
              <w:pStyle w:val="207"/>
              <w:keepNext w:val="0"/>
              <w:keepLines w:val="0"/>
              <w:pageBreakBefore w:val="0"/>
              <w:widowControl w:val="0"/>
              <w:wordWrap/>
              <w:overflowPunct/>
              <w:topLinePunct w:val="0"/>
              <w:bidi w:val="0"/>
              <w:spacing w:line="280" w:lineRule="exact"/>
              <w:ind w:left="1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住所地址：淮北市人民中路276号</w:t>
            </w:r>
          </w:p>
        </w:tc>
        <w:tc>
          <w:tcPr>
            <w:tcW w:w="5476" w:type="dxa"/>
            <w:vAlign w:val="top"/>
          </w:tcPr>
          <w:p w14:paraId="4F796BC9">
            <w:pPr>
              <w:pStyle w:val="207"/>
              <w:keepNext w:val="0"/>
              <w:keepLines w:val="0"/>
              <w:pageBreakBefore w:val="0"/>
              <w:widowControl w:val="0"/>
              <w:wordWrap/>
              <w:overflowPunct/>
              <w:topLinePunct w:val="0"/>
              <w:bidi w:val="0"/>
              <w:spacing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住所地址：</w:t>
            </w:r>
          </w:p>
        </w:tc>
      </w:tr>
      <w:tr w14:paraId="6EDA4E54">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7C9F1D41">
            <w:pPr>
              <w:pStyle w:val="207"/>
              <w:keepNext w:val="0"/>
              <w:keepLines w:val="0"/>
              <w:pageBreakBefore w:val="0"/>
              <w:widowControl w:val="0"/>
              <w:wordWrap/>
              <w:overflowPunct/>
              <w:topLinePunct w:val="0"/>
              <w:bidi w:val="0"/>
              <w:spacing w:before="38" w:line="280" w:lineRule="exact"/>
              <w:ind w:left="19" w:leftChars="0"/>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c>
          <w:tcPr>
            <w:tcW w:w="5476" w:type="dxa"/>
            <w:vAlign w:val="top"/>
          </w:tcPr>
          <w:p w14:paraId="130FD871">
            <w:pPr>
              <w:pStyle w:val="207"/>
              <w:keepNext w:val="0"/>
              <w:keepLines w:val="0"/>
              <w:pageBreakBefore w:val="0"/>
              <w:widowControl w:val="0"/>
              <w:wordWrap/>
              <w:overflowPunct/>
              <w:topLinePunct w:val="0"/>
              <w:bidi w:val="0"/>
              <w:spacing w:before="38"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r>
      <w:tr w14:paraId="798DCF6E">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0" w:hRule="atLeast"/>
        </w:trPr>
        <w:tc>
          <w:tcPr>
            <w:tcW w:w="4994" w:type="dxa"/>
            <w:vAlign w:val="top"/>
          </w:tcPr>
          <w:p w14:paraId="72F9DD53">
            <w:pPr>
              <w:pStyle w:val="207"/>
              <w:keepNext w:val="0"/>
              <w:keepLines w:val="0"/>
              <w:pageBreakBefore w:val="0"/>
              <w:widowControl w:val="0"/>
              <w:wordWrap/>
              <w:overflowPunct/>
              <w:topLinePunct w:val="0"/>
              <w:bidi w:val="0"/>
              <w:spacing w:before="38" w:line="280" w:lineRule="exact"/>
              <w:ind w:left="17" w:leftChars="0"/>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5"/>
                <w:sz w:val="21"/>
                <w:szCs w:val="21"/>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spacing w:val="5"/>
                <w:sz w:val="21"/>
                <w:szCs w:val="21"/>
                <w:highlight w:val="none"/>
                <w:lang w:val="en-US" w:eastAsia="zh-CN"/>
                <w14:textFill>
                  <w14:solidFill>
                    <w14:schemeClr w14:val="tx1"/>
                  </w14:solidFill>
                </w14:textFill>
              </w:rPr>
              <w:t xml:space="preserve">           审核人：</w:t>
            </w:r>
          </w:p>
        </w:tc>
        <w:tc>
          <w:tcPr>
            <w:tcW w:w="5476" w:type="dxa"/>
            <w:vAlign w:val="top"/>
          </w:tcPr>
          <w:p w14:paraId="0BB5425D">
            <w:pPr>
              <w:pStyle w:val="207"/>
              <w:keepNext w:val="0"/>
              <w:keepLines w:val="0"/>
              <w:pageBreakBefore w:val="0"/>
              <w:widowControl w:val="0"/>
              <w:wordWrap/>
              <w:overflowPunct/>
              <w:topLinePunct w:val="0"/>
              <w:bidi w:val="0"/>
              <w:spacing w:before="38"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委托代理人：</w:t>
            </w:r>
          </w:p>
        </w:tc>
      </w:tr>
      <w:tr w14:paraId="6F349243">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19764CD7">
            <w:pPr>
              <w:pStyle w:val="207"/>
              <w:keepNext w:val="0"/>
              <w:keepLines w:val="0"/>
              <w:pageBreakBefore w:val="0"/>
              <w:widowControl w:val="0"/>
              <w:wordWrap/>
              <w:overflowPunct/>
              <w:topLinePunct w:val="0"/>
              <w:bidi w:val="0"/>
              <w:spacing w:before="40" w:line="28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highlight w:val="none"/>
                <w14:textFill>
                  <w14:solidFill>
                    <w14:schemeClr w14:val="tx1"/>
                  </w14:solidFill>
                </w14:textFill>
              </w:rPr>
              <w:t>电话：0561-4951379（此电话仅作为开票信息使用）</w:t>
            </w:r>
          </w:p>
        </w:tc>
        <w:tc>
          <w:tcPr>
            <w:tcW w:w="5476" w:type="dxa"/>
            <w:vAlign w:val="top"/>
          </w:tcPr>
          <w:p w14:paraId="4F484BB4">
            <w:pPr>
              <w:pStyle w:val="207"/>
              <w:keepNext w:val="0"/>
              <w:keepLines w:val="0"/>
              <w:pageBreakBefore w:val="0"/>
              <w:widowControl w:val="0"/>
              <w:wordWrap/>
              <w:overflowPunct/>
              <w:topLinePunct w:val="0"/>
              <w:bidi w:val="0"/>
              <w:spacing w:line="280" w:lineRule="exact"/>
              <w:ind w:left="65"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5"/>
                <w:sz w:val="21"/>
                <w:szCs w:val="21"/>
                <w:highlight w:val="none"/>
                <w14:textFill>
                  <w14:solidFill>
                    <w14:schemeClr w14:val="tx1"/>
                  </w14:solidFill>
                </w14:textFill>
              </w:rPr>
              <w:t>电话：</w:t>
            </w:r>
          </w:p>
        </w:tc>
      </w:tr>
      <w:tr w14:paraId="3F3E0167">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60733CC4">
            <w:pPr>
              <w:pStyle w:val="207"/>
              <w:keepNext w:val="0"/>
              <w:keepLines w:val="0"/>
              <w:pageBreakBefore w:val="0"/>
              <w:widowControl w:val="0"/>
              <w:wordWrap/>
              <w:overflowPunct/>
              <w:topLinePunct w:val="0"/>
              <w:bidi w:val="0"/>
              <w:spacing w:before="40" w:line="280" w:lineRule="exact"/>
              <w:ind w:left="19"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开户银行：中国工商银行淮北市人民东路支行</w:t>
            </w:r>
          </w:p>
        </w:tc>
        <w:tc>
          <w:tcPr>
            <w:tcW w:w="5476" w:type="dxa"/>
            <w:vAlign w:val="top"/>
          </w:tcPr>
          <w:p w14:paraId="78D206A8">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开户银行：</w:t>
            </w:r>
          </w:p>
        </w:tc>
      </w:tr>
      <w:tr w14:paraId="12724766">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5B543C6E">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账号：9558851305000012667</w:t>
            </w:r>
          </w:p>
        </w:tc>
        <w:tc>
          <w:tcPr>
            <w:tcW w:w="5476" w:type="dxa"/>
            <w:vAlign w:val="top"/>
          </w:tcPr>
          <w:p w14:paraId="306CC16A">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w:t>
            </w:r>
          </w:p>
        </w:tc>
      </w:tr>
      <w:tr w14:paraId="0714210A">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139692B5">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纳税人识别号：91340600733033942R</w:t>
            </w:r>
          </w:p>
        </w:tc>
        <w:tc>
          <w:tcPr>
            <w:tcW w:w="5476" w:type="dxa"/>
            <w:vAlign w:val="top"/>
          </w:tcPr>
          <w:p w14:paraId="7707F428">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w:t>
            </w:r>
          </w:p>
        </w:tc>
      </w:tr>
      <w:tr w14:paraId="73907BDF">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14:paraId="3FC6CC68">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c>
          <w:tcPr>
            <w:tcW w:w="5476" w:type="dxa"/>
            <w:vAlign w:val="top"/>
          </w:tcPr>
          <w:p w14:paraId="1539610D">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r>
      <w:tr w14:paraId="592A67A7">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9" w:hRule="atLeast"/>
        </w:trPr>
        <w:tc>
          <w:tcPr>
            <w:tcW w:w="4994" w:type="dxa"/>
            <w:vAlign w:val="top"/>
          </w:tcPr>
          <w:p w14:paraId="6E7D4C87">
            <w:pPr>
              <w:pStyle w:val="207"/>
              <w:keepNext w:val="0"/>
              <w:keepLines w:val="0"/>
              <w:pageBreakBefore w:val="0"/>
              <w:widowControl w:val="0"/>
              <w:wordWrap/>
              <w:overflowPunct/>
              <w:topLinePunct w:val="0"/>
              <w:bidi w:val="0"/>
              <w:spacing w:before="1" w:line="280" w:lineRule="exact"/>
              <w:ind w:left="32"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t>邮政编码：235000</w:t>
            </w:r>
          </w:p>
        </w:tc>
        <w:tc>
          <w:tcPr>
            <w:tcW w:w="5476" w:type="dxa"/>
            <w:vAlign w:val="top"/>
          </w:tcPr>
          <w:p w14:paraId="63CE0A52">
            <w:pPr>
              <w:pStyle w:val="207"/>
              <w:keepNext w:val="0"/>
              <w:keepLines w:val="0"/>
              <w:pageBreakBefore w:val="0"/>
              <w:widowControl w:val="0"/>
              <w:wordWrap/>
              <w:overflowPunct/>
              <w:topLinePunct w:val="0"/>
              <w:bidi w:val="0"/>
              <w:spacing w:before="43" w:line="280" w:lineRule="exact"/>
              <w:ind w:left="5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邮政编码：</w:t>
            </w:r>
          </w:p>
        </w:tc>
      </w:tr>
    </w:tbl>
    <w:p w14:paraId="3D25BAA5">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cs="宋体" w:eastAsiaTheme="minorEastAsia"/>
          <w:color w:val="000000" w:themeColor="text1"/>
          <w:sz w:val="21"/>
          <w:szCs w:val="21"/>
          <w:highlight w:val="none"/>
          <w:u w:val="none"/>
          <w:lang w:eastAsia="zh-CN"/>
          <w14:textFill>
            <w14:solidFill>
              <w14:schemeClr w14:val="tx1"/>
            </w14:solidFill>
          </w14:textFill>
        </w:rPr>
      </w:pPr>
    </w:p>
    <w:p w14:paraId="43726A4A">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color w:val="000000" w:themeColor="text1"/>
          <w:spacing w:val="-2"/>
          <w:sz w:val="21"/>
          <w:szCs w:val="21"/>
          <w:highlight w:val="none"/>
          <w:u w:val="none"/>
          <w14:textFill>
            <w14:solidFill>
              <w14:schemeClr w14:val="tx1"/>
            </w14:solidFill>
          </w14:textFill>
        </w:rPr>
        <w:t>合同履行地：</w:t>
      </w:r>
      <w:r>
        <w:rPr>
          <w:color w:val="000000" w:themeColor="text1"/>
          <w:spacing w:val="-2"/>
          <w:sz w:val="21"/>
          <w:szCs w:val="21"/>
          <w:highlight w:val="none"/>
          <w:u w:val="single"/>
          <w14:textFill>
            <w14:solidFill>
              <w14:schemeClr w14:val="tx1"/>
            </w14:solidFill>
          </w14:textFill>
        </w:rPr>
        <w:t>淮北市相山区</w:t>
      </w:r>
      <w:r>
        <w:rPr>
          <w:rFonts w:hint="eastAsia"/>
          <w:color w:val="000000" w:themeColor="text1"/>
          <w:spacing w:val="-2"/>
          <w:sz w:val="21"/>
          <w:szCs w:val="21"/>
          <w:highlight w:val="none"/>
          <w:u w:val="none"/>
          <w:lang w:val="en-US" w:eastAsia="zh-CN"/>
          <w14:textFill>
            <w14:solidFill>
              <w14:schemeClr w14:val="tx1"/>
            </w14:solidFill>
          </w14:textFill>
        </w:rPr>
        <w:t xml:space="preserve">        </w:t>
      </w:r>
      <w:r>
        <w:rPr>
          <w:color w:val="000000" w:themeColor="text1"/>
          <w:spacing w:val="-3"/>
          <w:sz w:val="21"/>
          <w:szCs w:val="21"/>
          <w:highlight w:val="none"/>
          <w:u w:val="none"/>
          <w14:textFill>
            <w14:solidFill>
              <w14:schemeClr w14:val="tx1"/>
            </w14:solidFill>
          </w14:textFill>
        </w:rPr>
        <w:t>有效期限：</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r>
        <w:rPr>
          <w:color w:val="000000" w:themeColor="text1"/>
          <w:spacing w:val="-3"/>
          <w:sz w:val="21"/>
          <w:szCs w:val="21"/>
          <w:highlight w:val="none"/>
          <w:u w:val="none"/>
          <w14:textFill>
            <w14:solidFill>
              <w14:schemeClr w14:val="tx1"/>
            </w14:solidFill>
          </w14:textFill>
        </w:rPr>
        <w:t>至</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p>
    <w:p w14:paraId="7B35E334">
      <w:pP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br w:type="page"/>
      </w:r>
    </w:p>
    <w:p w14:paraId="613BE336">
      <w:pPr>
        <w:keepNext w:val="0"/>
        <w:keepLines w:val="0"/>
        <w:pageBreakBefore w:val="0"/>
        <w:widowControl w:val="0"/>
        <w:kinsoku/>
        <w:wordWrap/>
        <w:overflowPunct/>
        <w:topLinePunct w:val="0"/>
        <w:autoSpaceDE/>
        <w:autoSpaceDN/>
        <w:bidi w:val="0"/>
        <w:adjustRightInd/>
        <w:snapToGrid/>
        <w:spacing w:line="280" w:lineRule="exact"/>
        <w:ind w:firstLine="420" w:firstLineChars="0"/>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p>
    <w:p w14:paraId="31E4D3B1">
      <w:pPr>
        <w:keepNext w:val="0"/>
        <w:keepLines w:val="0"/>
        <w:pageBreakBefore w:val="0"/>
        <w:widowControl w:val="0"/>
        <w:kinsoku/>
        <w:wordWrap/>
        <w:overflowPunct/>
        <w:topLinePunct w:val="0"/>
        <w:autoSpaceDE/>
        <w:autoSpaceDN/>
        <w:bidi w:val="0"/>
        <w:adjustRightInd/>
        <w:snapToGrid/>
        <w:spacing w:line="280" w:lineRule="exact"/>
        <w:ind w:firstLine="420" w:firstLineChars="0"/>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r>
        <w:rPr>
          <w:rFonts w:hint="eastAsia" w:ascii="宋体" w:hAnsi="宋体" w:eastAsia="宋体" w:cs="宋体"/>
          <w:color w:val="000000" w:themeColor="text1"/>
          <w:sz w:val="28"/>
          <w:szCs w:val="32"/>
          <w:highlight w:val="none"/>
          <w:lang w:eastAsia="zh-CN"/>
          <w14:textFill>
            <w14:solidFill>
              <w14:schemeClr w14:val="tx1"/>
            </w14:solidFill>
          </w14:textFill>
        </w:rPr>
        <w:t>附件:工业品买卖合同明细表</w:t>
      </w:r>
    </w:p>
    <w:p w14:paraId="1B8E4968">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p>
    <w:p w14:paraId="1295D05A">
      <w:pPr>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lang w:val="en-US" w:eastAsia="zh-CN"/>
        </w:rPr>
        <w:t>工业品买卖合同明细表</w:t>
      </w:r>
    </w:p>
    <w:tbl>
      <w:tblPr>
        <w:tblStyle w:val="194"/>
        <w:tblW w:w="10443" w:type="dxa"/>
        <w:tblInd w:w="165"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1069"/>
        <w:gridCol w:w="1424"/>
        <w:gridCol w:w="661"/>
        <w:gridCol w:w="656"/>
        <w:gridCol w:w="391"/>
        <w:gridCol w:w="342"/>
        <w:gridCol w:w="780"/>
        <w:gridCol w:w="642"/>
        <w:gridCol w:w="824"/>
        <w:gridCol w:w="755"/>
        <w:gridCol w:w="730"/>
        <w:gridCol w:w="670"/>
        <w:gridCol w:w="965"/>
        <w:gridCol w:w="534"/>
      </w:tblGrid>
      <w:tr w14:paraId="52920B35">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1069"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4487379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b/>
                <w:bCs/>
                <w:color w:val="000000" w:themeColor="text1"/>
                <w:spacing w:val="12"/>
                <w:sz w:val="18"/>
                <w:szCs w:val="18"/>
                <w:highlight w:val="none"/>
                <w14:textFill>
                  <w14:solidFill>
                    <w14:schemeClr w14:val="tx1"/>
                  </w14:solidFill>
                </w14:textFill>
              </w:rPr>
              <w:t>物资</w:t>
            </w:r>
            <w:r>
              <w:rPr>
                <w:rFonts w:hint="eastAsia" w:asciiTheme="minorHAnsi" w:eastAsiaTheme="minorEastAsia"/>
                <w:b/>
                <w:bCs/>
                <w:color w:val="000000" w:themeColor="text1"/>
                <w:spacing w:val="12"/>
                <w:sz w:val="18"/>
                <w:szCs w:val="18"/>
                <w:highlight w:val="none"/>
                <w:lang w:val="en-US" w:eastAsia="zh-CN"/>
                <w14:textFill>
                  <w14:solidFill>
                    <w14:schemeClr w14:val="tx1"/>
                  </w14:solidFill>
                </w14:textFill>
              </w:rPr>
              <w:t>编码</w:t>
            </w:r>
          </w:p>
        </w:tc>
        <w:tc>
          <w:tcPr>
            <w:tcW w:w="142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5871FF1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物资</w:t>
            </w:r>
            <w:r>
              <w:rPr>
                <w:rFonts w:ascii="宋体" w:hAnsi="宋体" w:eastAsia="宋体" w:cs="宋体"/>
                <w:b/>
                <w:color w:val="000000" w:themeColor="text1"/>
                <w:sz w:val="18"/>
                <w:szCs w:val="18"/>
                <w:highlight w:val="none"/>
                <w14:textFill>
                  <w14:solidFill>
                    <w14:schemeClr w14:val="tx1"/>
                  </w14:solidFill>
                </w14:textFill>
              </w:rPr>
              <w:t>名称</w:t>
            </w:r>
          </w:p>
        </w:tc>
        <w:tc>
          <w:tcPr>
            <w:tcW w:w="66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09E2ACE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规格</w:t>
            </w:r>
          </w:p>
          <w:p w14:paraId="3228F0D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型号</w:t>
            </w:r>
          </w:p>
        </w:tc>
        <w:tc>
          <w:tcPr>
            <w:tcW w:w="656"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478E135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计量</w:t>
            </w:r>
          </w:p>
          <w:p w14:paraId="24809AC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单位</w:t>
            </w:r>
          </w:p>
        </w:tc>
        <w:tc>
          <w:tcPr>
            <w:tcW w:w="39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7F9A72D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数量</w:t>
            </w: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453C5DB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hint="eastAsia" w:ascii="宋体" w:hAnsi="宋体" w:eastAsia="宋体" w:cs="宋体"/>
                <w:b/>
                <w:color w:val="000000" w:themeColor="text1"/>
                <w:sz w:val="18"/>
                <w:szCs w:val="18"/>
                <w:highlight w:val="none"/>
                <w:lang w:val="en-US" w:eastAsia="zh-CN"/>
                <w14:textFill>
                  <w14:solidFill>
                    <w14:schemeClr w14:val="tx1"/>
                  </w14:solidFill>
                </w14:textFill>
              </w:rPr>
              <w:t>税率</w:t>
            </w:r>
          </w:p>
        </w:tc>
        <w:tc>
          <w:tcPr>
            <w:tcW w:w="2246"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F7DF5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单价（</w:t>
            </w:r>
            <w:r>
              <w:rPr>
                <w:rFonts w:hint="eastAsia" w:ascii="宋体" w:hAnsi="宋体" w:eastAsia="宋体" w:cs="宋体"/>
                <w:b/>
                <w:color w:val="000000" w:themeColor="text1"/>
                <w:sz w:val="18"/>
                <w:szCs w:val="18"/>
                <w:highlight w:val="none"/>
                <w:lang w:eastAsia="zh-CN"/>
                <w14:textFill>
                  <w14:solidFill>
                    <w14:schemeClr w14:val="tx1"/>
                  </w14:solidFill>
                </w14:textFill>
              </w:rPr>
              <w:t>元</w:t>
            </w:r>
            <w:r>
              <w:rPr>
                <w:rFonts w:ascii="宋体" w:hAnsi="宋体" w:eastAsia="宋体" w:cs="宋体"/>
                <w:b/>
                <w:color w:val="000000" w:themeColor="text1"/>
                <w:sz w:val="18"/>
                <w:szCs w:val="18"/>
                <w:highlight w:val="none"/>
                <w14:textFill>
                  <w14:solidFill>
                    <w14:schemeClr w14:val="tx1"/>
                  </w14:solidFill>
                </w14:textFill>
              </w:rPr>
              <w:t>）</w:t>
            </w:r>
          </w:p>
        </w:tc>
        <w:tc>
          <w:tcPr>
            <w:tcW w:w="2155"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D43D8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lang w:eastAsia="zh-CN"/>
                <w14:textFill>
                  <w14:solidFill>
                    <w14:schemeClr w14:val="tx1"/>
                  </w14:solidFill>
                </w14:textFill>
              </w:rPr>
              <w:t>金额(元)</w:t>
            </w:r>
          </w:p>
        </w:tc>
        <w:tc>
          <w:tcPr>
            <w:tcW w:w="965"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23C91F4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生产厂家</w:t>
            </w:r>
          </w:p>
          <w:p w14:paraId="1A08F4C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（品牌）</w:t>
            </w:r>
          </w:p>
        </w:tc>
        <w:tc>
          <w:tcPr>
            <w:tcW w:w="53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5167C30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备注</w:t>
            </w:r>
          </w:p>
        </w:tc>
      </w:tr>
      <w:tr w14:paraId="204374B0">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1069"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95C457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142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F3A68D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6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FFF277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56"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BD9FF2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9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A4BFDC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E62E5B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1CAF99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AE2305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F80CD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00E68A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23AC1A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4FF51F8">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965"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15D7486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c>
          <w:tcPr>
            <w:tcW w:w="53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E077858">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r>
      <w:tr w14:paraId="60A8B66B">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ED89EE7">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44BD0EF">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94EAD90">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20B2065">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F57CE24">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14:paraId="283404DD">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7B44003">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C182FA0">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9113CD8">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E174079">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90EF60B">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FEE9AE6">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3B7D81E">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99CA06C">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14:paraId="405B5E10">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07C1853">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BDD768C">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7BD0B79">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6BCBBFA">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6540A0A">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79BB7F0">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A586736">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4A10A5A">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EDDAA3C">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41AB863">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F8459A2">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1768CBF">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DAC31E6">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502984F">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14:paraId="4DB2DE67">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1069" w:type="dxa"/>
            <w:vMerge w:val="restar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7BA8D9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eastAsia="宋体"/>
                <w:color w:val="000000" w:themeColor="text1"/>
                <w:sz w:val="21"/>
                <w:szCs w:val="20"/>
                <w:highlight w:val="none"/>
                <w:lang w:eastAsia="zh-CN"/>
                <w14:textFill>
                  <w14:solidFill>
                    <w14:schemeClr w14:val="tx1"/>
                  </w14:solidFill>
                </w14:textFill>
              </w:rPr>
            </w:pPr>
            <w:r>
              <w:rPr>
                <w:rFonts w:ascii="宋体" w:hAnsi="宋体" w:eastAsia="宋体" w:cs="宋体"/>
                <w:b/>
                <w:color w:val="000000" w:themeColor="text1"/>
                <w:sz w:val="18"/>
                <w:szCs w:val="20"/>
                <w:highlight w:val="none"/>
                <w14:textFill>
                  <w14:solidFill>
                    <w14:schemeClr w14:val="tx1"/>
                  </w14:solidFill>
                </w14:textFill>
              </w:rPr>
              <w:t>合计</w:t>
            </w:r>
            <w:r>
              <w:rPr>
                <w:rFonts w:hint="eastAsia" w:ascii="宋体" w:hAnsi="宋体" w:eastAsia="宋体" w:cs="宋体"/>
                <w:b/>
                <w:color w:val="000000" w:themeColor="text1"/>
                <w:sz w:val="18"/>
                <w:szCs w:val="20"/>
                <w:highlight w:val="none"/>
                <w:lang w:eastAsia="zh-CN"/>
                <w14:textFill>
                  <w14:solidFill>
                    <w14:schemeClr w14:val="tx1"/>
                  </w14:solidFill>
                </w14:textFill>
              </w:rPr>
              <w:t>：</w:t>
            </w:r>
          </w:p>
        </w:tc>
        <w:tc>
          <w:tcPr>
            <w:tcW w:w="4896" w:type="dxa"/>
            <w:gridSpan w:val="7"/>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5D85368">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E1E863D">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含税小写）</w:t>
            </w:r>
          </w:p>
        </w:tc>
      </w:tr>
      <w:tr w14:paraId="16082012">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1069" w:type="dxa"/>
            <w:vMerge w:val="continue"/>
            <w:tcBorders>
              <w:top w:val="single" w:color="000000" w:sz="8" w:space="0"/>
              <w:left w:val="single" w:color="000000" w:sz="8" w:space="0"/>
              <w:bottom w:val="single" w:color="000000" w:sz="8" w:space="0"/>
              <w:right w:val="single" w:color="000000" w:sz="8" w:space="0"/>
            </w:tcBorders>
          </w:tcPr>
          <w:p w14:paraId="524A46AC">
            <w:pPr>
              <w:keepNext w:val="0"/>
              <w:keepLines w:val="0"/>
              <w:pageBreakBefore w:val="0"/>
              <w:widowControl w:val="0"/>
              <w:kinsoku/>
              <w:wordWrap/>
              <w:overflowPunct/>
              <w:topLinePunct w:val="0"/>
              <w:autoSpaceDE/>
              <w:autoSpaceDN/>
              <w:bidi w:val="0"/>
              <w:adjustRightInd/>
              <w:snapToGrid/>
              <w:spacing w:line="280" w:lineRule="exact"/>
              <w:textAlignment w:val="auto"/>
              <w:rPr>
                <w:color w:val="000000" w:themeColor="text1"/>
                <w:sz w:val="18"/>
                <w:szCs w:val="20"/>
                <w:highlight w:val="none"/>
                <w14:textFill>
                  <w14:solidFill>
                    <w14:schemeClr w14:val="tx1"/>
                  </w14:solidFill>
                </w14:textFill>
              </w:rPr>
            </w:pPr>
          </w:p>
        </w:tc>
        <w:tc>
          <w:tcPr>
            <w:tcW w:w="4896" w:type="dxa"/>
            <w:gridSpan w:val="7"/>
            <w:tcBorders>
              <w:top w:val="single" w:color="000000" w:sz="8" w:space="0"/>
              <w:left w:val="single" w:color="000000" w:sz="8" w:space="0"/>
              <w:bottom w:val="single" w:color="000000" w:sz="8" w:space="0"/>
              <w:right w:val="single" w:color="000000" w:sz="8" w:space="0"/>
            </w:tcBorders>
            <w:vAlign w:val="center"/>
          </w:tcPr>
          <w:p w14:paraId="214FCC0F">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15DF76A">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b/>
                <w:color w:val="000000" w:themeColor="text1"/>
                <w:sz w:val="18"/>
                <w:szCs w:val="20"/>
                <w:highlight w:val="none"/>
                <w:lang w:val="en-US" w:eastAsia="zh-CN"/>
                <w14:textFill>
                  <w14:solidFill>
                    <w14:schemeClr w14:val="tx1"/>
                  </w14:solidFill>
                </w14:textFill>
              </w:rPr>
            </w:pPr>
            <w:r>
              <w:rPr>
                <w:rFonts w:hint="eastAsia" w:ascii="宋体" w:hAnsi="宋体" w:eastAsia="宋体" w:cs="宋体"/>
                <w:b/>
                <w:color w:val="000000" w:themeColor="text1"/>
                <w:sz w:val="18"/>
                <w:szCs w:val="20"/>
                <w:highlight w:val="none"/>
                <w:lang w:val="en-US" w:eastAsia="zh-CN"/>
                <w14:textFill>
                  <w14:solidFill>
                    <w14:schemeClr w14:val="tx1"/>
                  </w14:solidFill>
                </w14:textFill>
              </w:rPr>
              <w:t>总金额人民币（含税小写）</w:t>
            </w:r>
          </w:p>
        </w:tc>
      </w:tr>
    </w:tbl>
    <w:p w14:paraId="4BC10696">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备注：以上含税单价包括产品的运费、包装费、保险费、技术服务费等与本次采购有关的一切所需费用及税金</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运费、包装费、保险费</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技术服务费</w:t>
      </w:r>
      <w:r>
        <w:rPr>
          <w:rFonts w:hint="eastAsia" w:ascii="宋体" w:hAnsi="宋体" w:eastAsia="宋体" w:cs="宋体"/>
          <w:color w:val="000000" w:themeColor="text1"/>
          <w:highlight w:val="none"/>
          <w:lang w:val="en-US" w:eastAsia="zh-CN"/>
          <w14:textFill>
            <w14:solidFill>
              <w14:schemeClr w14:val="tx1"/>
            </w14:solidFill>
          </w14:textFill>
        </w:rPr>
        <w:t>等单独约定的除外）</w:t>
      </w:r>
      <w:r>
        <w:rPr>
          <w:rFonts w:ascii="宋体" w:hAnsi="宋体" w:eastAsia="宋体" w:cs="宋体"/>
          <w:color w:val="000000" w:themeColor="text1"/>
          <w:highlight w:val="none"/>
          <w:lang w:eastAsia="zh-CN"/>
          <w14:textFill>
            <w14:solidFill>
              <w14:schemeClr w14:val="tx1"/>
            </w14:solidFill>
          </w14:textFill>
        </w:rPr>
        <w:t>。</w:t>
      </w:r>
    </w:p>
    <w:sectPr>
      <w:pgSz w:w="11906" w:h="16838"/>
      <w:pgMar w:top="567" w:right="567" w:bottom="567" w:left="567" w:header="851" w:footer="992" w:gutter="0"/>
      <w:pgBorders>
        <w:top w:val="none" w:sz="0" w:space="0"/>
        <w:left w:val="none" w:sz="0" w:space="0"/>
        <w:bottom w:val="none" w:sz="0" w:space="0"/>
        <w:right w:val="none" w:sz="0" w:space="0"/>
      </w:pgBorders>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2"/>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051"/>
    <w:rsid w:val="001113BD"/>
    <w:rsid w:val="00165C7F"/>
    <w:rsid w:val="00493051"/>
    <w:rsid w:val="006A175F"/>
    <w:rsid w:val="00773664"/>
    <w:rsid w:val="007A784F"/>
    <w:rsid w:val="008E0C60"/>
    <w:rsid w:val="00A31767"/>
    <w:rsid w:val="01655E65"/>
    <w:rsid w:val="01CA63A7"/>
    <w:rsid w:val="02183A97"/>
    <w:rsid w:val="023000CF"/>
    <w:rsid w:val="02702D13"/>
    <w:rsid w:val="02A93B2F"/>
    <w:rsid w:val="02C4662B"/>
    <w:rsid w:val="02D26AA1"/>
    <w:rsid w:val="02DA413E"/>
    <w:rsid w:val="032A02A3"/>
    <w:rsid w:val="032B7DBE"/>
    <w:rsid w:val="03305272"/>
    <w:rsid w:val="034C72DC"/>
    <w:rsid w:val="03B45EFA"/>
    <w:rsid w:val="03CC5D27"/>
    <w:rsid w:val="03E56DE9"/>
    <w:rsid w:val="041D33F9"/>
    <w:rsid w:val="04966335"/>
    <w:rsid w:val="04AD08DA"/>
    <w:rsid w:val="054D10EA"/>
    <w:rsid w:val="05584D74"/>
    <w:rsid w:val="05DC421B"/>
    <w:rsid w:val="05ED01D7"/>
    <w:rsid w:val="063509A2"/>
    <w:rsid w:val="066902FB"/>
    <w:rsid w:val="06C74ECC"/>
    <w:rsid w:val="06D870D9"/>
    <w:rsid w:val="0701218C"/>
    <w:rsid w:val="071E0F8F"/>
    <w:rsid w:val="07436216"/>
    <w:rsid w:val="07610759"/>
    <w:rsid w:val="077C7A64"/>
    <w:rsid w:val="089662E1"/>
    <w:rsid w:val="08A50207"/>
    <w:rsid w:val="090F371F"/>
    <w:rsid w:val="093176AE"/>
    <w:rsid w:val="09734E97"/>
    <w:rsid w:val="099948FD"/>
    <w:rsid w:val="09BD0D3B"/>
    <w:rsid w:val="09E3201C"/>
    <w:rsid w:val="0A0D52EB"/>
    <w:rsid w:val="0A5371A2"/>
    <w:rsid w:val="0AD93C88"/>
    <w:rsid w:val="0B0C10FF"/>
    <w:rsid w:val="0B40056B"/>
    <w:rsid w:val="0B690856"/>
    <w:rsid w:val="0BCB43B9"/>
    <w:rsid w:val="0BCC6574"/>
    <w:rsid w:val="0BD240F7"/>
    <w:rsid w:val="0BD47E6F"/>
    <w:rsid w:val="0C0A79EC"/>
    <w:rsid w:val="0C405504"/>
    <w:rsid w:val="0C474AE5"/>
    <w:rsid w:val="0C522D79"/>
    <w:rsid w:val="0C985340"/>
    <w:rsid w:val="0CD81BE1"/>
    <w:rsid w:val="0D894C89"/>
    <w:rsid w:val="0F206700"/>
    <w:rsid w:val="0F2A1E48"/>
    <w:rsid w:val="101271B8"/>
    <w:rsid w:val="11C268CC"/>
    <w:rsid w:val="11D02F4B"/>
    <w:rsid w:val="11DE7AD8"/>
    <w:rsid w:val="120927A6"/>
    <w:rsid w:val="12B212B8"/>
    <w:rsid w:val="12C22387"/>
    <w:rsid w:val="13224198"/>
    <w:rsid w:val="1356560D"/>
    <w:rsid w:val="13A45FA7"/>
    <w:rsid w:val="13AD7E34"/>
    <w:rsid w:val="13B16CE7"/>
    <w:rsid w:val="145D36A2"/>
    <w:rsid w:val="14907C28"/>
    <w:rsid w:val="155B3EC5"/>
    <w:rsid w:val="15BB2A37"/>
    <w:rsid w:val="15CB3C38"/>
    <w:rsid w:val="15F20809"/>
    <w:rsid w:val="164F2316"/>
    <w:rsid w:val="16EA3291"/>
    <w:rsid w:val="17434820"/>
    <w:rsid w:val="197C1B46"/>
    <w:rsid w:val="198A2F36"/>
    <w:rsid w:val="1A0206F7"/>
    <w:rsid w:val="1A0B42A6"/>
    <w:rsid w:val="1A9133CF"/>
    <w:rsid w:val="1A9D5123"/>
    <w:rsid w:val="1AAB5DE3"/>
    <w:rsid w:val="1AD35795"/>
    <w:rsid w:val="1C0876C1"/>
    <w:rsid w:val="1C17056A"/>
    <w:rsid w:val="1C204E6B"/>
    <w:rsid w:val="1C2A7637"/>
    <w:rsid w:val="1C3434BF"/>
    <w:rsid w:val="1CA564FD"/>
    <w:rsid w:val="1CDC0A5B"/>
    <w:rsid w:val="1CF2364A"/>
    <w:rsid w:val="1D163356"/>
    <w:rsid w:val="1E9A01C0"/>
    <w:rsid w:val="1EF009BC"/>
    <w:rsid w:val="1F3D6E93"/>
    <w:rsid w:val="1F941997"/>
    <w:rsid w:val="1FAF67D1"/>
    <w:rsid w:val="204809D3"/>
    <w:rsid w:val="209F0117"/>
    <w:rsid w:val="21035862"/>
    <w:rsid w:val="21141C1A"/>
    <w:rsid w:val="211B179B"/>
    <w:rsid w:val="22561186"/>
    <w:rsid w:val="22C759AB"/>
    <w:rsid w:val="22D113D2"/>
    <w:rsid w:val="22F83CBB"/>
    <w:rsid w:val="232C1EE7"/>
    <w:rsid w:val="234B77EF"/>
    <w:rsid w:val="236C2F6A"/>
    <w:rsid w:val="23763BB2"/>
    <w:rsid w:val="23A81EB5"/>
    <w:rsid w:val="24086309"/>
    <w:rsid w:val="246827C5"/>
    <w:rsid w:val="24B47998"/>
    <w:rsid w:val="24E32DE7"/>
    <w:rsid w:val="25772376"/>
    <w:rsid w:val="261A071C"/>
    <w:rsid w:val="26AF355A"/>
    <w:rsid w:val="26B44AF3"/>
    <w:rsid w:val="26B61DC0"/>
    <w:rsid w:val="26E07FCC"/>
    <w:rsid w:val="26F06F4C"/>
    <w:rsid w:val="274A5031"/>
    <w:rsid w:val="27767BD4"/>
    <w:rsid w:val="27D516E0"/>
    <w:rsid w:val="280D5A34"/>
    <w:rsid w:val="2817512F"/>
    <w:rsid w:val="282B09BF"/>
    <w:rsid w:val="286A4870"/>
    <w:rsid w:val="293B7327"/>
    <w:rsid w:val="2A6E7289"/>
    <w:rsid w:val="2AB949A8"/>
    <w:rsid w:val="2AE43F7F"/>
    <w:rsid w:val="2C091017"/>
    <w:rsid w:val="2CB64FE4"/>
    <w:rsid w:val="2D551182"/>
    <w:rsid w:val="2D970D3C"/>
    <w:rsid w:val="2E1369CC"/>
    <w:rsid w:val="2E4809B9"/>
    <w:rsid w:val="2E4C78E1"/>
    <w:rsid w:val="2E530F88"/>
    <w:rsid w:val="2EB43C43"/>
    <w:rsid w:val="2F5E5B1E"/>
    <w:rsid w:val="2F8B61E7"/>
    <w:rsid w:val="30062ABE"/>
    <w:rsid w:val="3059003E"/>
    <w:rsid w:val="30714674"/>
    <w:rsid w:val="31085D41"/>
    <w:rsid w:val="311C17EC"/>
    <w:rsid w:val="317038E6"/>
    <w:rsid w:val="317B751E"/>
    <w:rsid w:val="31833AED"/>
    <w:rsid w:val="31C240D5"/>
    <w:rsid w:val="31F61190"/>
    <w:rsid w:val="32313075"/>
    <w:rsid w:val="32693E87"/>
    <w:rsid w:val="33651347"/>
    <w:rsid w:val="33F26175"/>
    <w:rsid w:val="345C650E"/>
    <w:rsid w:val="3522139B"/>
    <w:rsid w:val="359202CF"/>
    <w:rsid w:val="359C73A0"/>
    <w:rsid w:val="363D0446"/>
    <w:rsid w:val="364542CC"/>
    <w:rsid w:val="36AE42DD"/>
    <w:rsid w:val="36B65736"/>
    <w:rsid w:val="370C2303"/>
    <w:rsid w:val="372413FB"/>
    <w:rsid w:val="37A147F9"/>
    <w:rsid w:val="37B7401D"/>
    <w:rsid w:val="37CB536B"/>
    <w:rsid w:val="37CC5064"/>
    <w:rsid w:val="37D617D5"/>
    <w:rsid w:val="38493BB6"/>
    <w:rsid w:val="38C06F01"/>
    <w:rsid w:val="39555F8E"/>
    <w:rsid w:val="39565AB7"/>
    <w:rsid w:val="396B2A53"/>
    <w:rsid w:val="398D772B"/>
    <w:rsid w:val="39E4688A"/>
    <w:rsid w:val="3A361D28"/>
    <w:rsid w:val="3A751279"/>
    <w:rsid w:val="3A93495F"/>
    <w:rsid w:val="3A946897"/>
    <w:rsid w:val="3AC727C9"/>
    <w:rsid w:val="3ACE232F"/>
    <w:rsid w:val="3AEA4709"/>
    <w:rsid w:val="3AF92745"/>
    <w:rsid w:val="3AFF778C"/>
    <w:rsid w:val="3BB64BF1"/>
    <w:rsid w:val="3BBC42F8"/>
    <w:rsid w:val="3BE04D93"/>
    <w:rsid w:val="3BED23FD"/>
    <w:rsid w:val="3C0504F6"/>
    <w:rsid w:val="3C293E83"/>
    <w:rsid w:val="3C2B2403"/>
    <w:rsid w:val="3C91545E"/>
    <w:rsid w:val="3CC96EFC"/>
    <w:rsid w:val="3CD964B6"/>
    <w:rsid w:val="3D430101"/>
    <w:rsid w:val="3D4B409C"/>
    <w:rsid w:val="3D78424E"/>
    <w:rsid w:val="3E492E08"/>
    <w:rsid w:val="3EAB0F4A"/>
    <w:rsid w:val="3F0B0FB8"/>
    <w:rsid w:val="3F6727CC"/>
    <w:rsid w:val="3F6C1B91"/>
    <w:rsid w:val="3FCD2A77"/>
    <w:rsid w:val="402A3E6D"/>
    <w:rsid w:val="4061546E"/>
    <w:rsid w:val="40707A2D"/>
    <w:rsid w:val="40BA4B7E"/>
    <w:rsid w:val="41AD4EDA"/>
    <w:rsid w:val="42933DB2"/>
    <w:rsid w:val="42B204C6"/>
    <w:rsid w:val="42D96FD2"/>
    <w:rsid w:val="4309165C"/>
    <w:rsid w:val="43746A4F"/>
    <w:rsid w:val="43896F34"/>
    <w:rsid w:val="44BD4124"/>
    <w:rsid w:val="44F3065E"/>
    <w:rsid w:val="44F57C8B"/>
    <w:rsid w:val="450A60D4"/>
    <w:rsid w:val="451E56DB"/>
    <w:rsid w:val="452151CC"/>
    <w:rsid w:val="45941E41"/>
    <w:rsid w:val="45950735"/>
    <w:rsid w:val="45A81449"/>
    <w:rsid w:val="462036D5"/>
    <w:rsid w:val="46411D80"/>
    <w:rsid w:val="46674E60"/>
    <w:rsid w:val="46DE4340"/>
    <w:rsid w:val="47084895"/>
    <w:rsid w:val="47353367"/>
    <w:rsid w:val="47841A42"/>
    <w:rsid w:val="48276F9D"/>
    <w:rsid w:val="48D84B2B"/>
    <w:rsid w:val="48E00EFA"/>
    <w:rsid w:val="48FD385A"/>
    <w:rsid w:val="4A07260B"/>
    <w:rsid w:val="4A285092"/>
    <w:rsid w:val="4A5A69D6"/>
    <w:rsid w:val="4AD5638B"/>
    <w:rsid w:val="4B4F786C"/>
    <w:rsid w:val="4B702A09"/>
    <w:rsid w:val="4B9F6E4A"/>
    <w:rsid w:val="4BAB3A41"/>
    <w:rsid w:val="4BAD5A0B"/>
    <w:rsid w:val="4C082C41"/>
    <w:rsid w:val="4C4D68A6"/>
    <w:rsid w:val="4CA010CC"/>
    <w:rsid w:val="4CAE46E6"/>
    <w:rsid w:val="4CD62BC6"/>
    <w:rsid w:val="4CF401C6"/>
    <w:rsid w:val="4D341CB6"/>
    <w:rsid w:val="4D4C4381"/>
    <w:rsid w:val="4DB51455"/>
    <w:rsid w:val="4DB96D97"/>
    <w:rsid w:val="4DEB49CC"/>
    <w:rsid w:val="4E7B1458"/>
    <w:rsid w:val="4EA71656"/>
    <w:rsid w:val="4EA84268"/>
    <w:rsid w:val="4EE51018"/>
    <w:rsid w:val="4F0A6CD0"/>
    <w:rsid w:val="4F193510"/>
    <w:rsid w:val="4FB01626"/>
    <w:rsid w:val="4FE37EF6"/>
    <w:rsid w:val="4FF35972"/>
    <w:rsid w:val="512322CB"/>
    <w:rsid w:val="515A7F54"/>
    <w:rsid w:val="516C77CE"/>
    <w:rsid w:val="52407B61"/>
    <w:rsid w:val="52973D76"/>
    <w:rsid w:val="537B6212"/>
    <w:rsid w:val="538F3294"/>
    <w:rsid w:val="53CB6BD5"/>
    <w:rsid w:val="53E70726"/>
    <w:rsid w:val="53F1220D"/>
    <w:rsid w:val="5419264B"/>
    <w:rsid w:val="545C7FCE"/>
    <w:rsid w:val="555962BC"/>
    <w:rsid w:val="557730F2"/>
    <w:rsid w:val="55C06FF2"/>
    <w:rsid w:val="56243888"/>
    <w:rsid w:val="568832FC"/>
    <w:rsid w:val="572012B1"/>
    <w:rsid w:val="57D245B4"/>
    <w:rsid w:val="57E5652D"/>
    <w:rsid w:val="57F10A2D"/>
    <w:rsid w:val="58005C2D"/>
    <w:rsid w:val="58492617"/>
    <w:rsid w:val="588C62A8"/>
    <w:rsid w:val="588D57EE"/>
    <w:rsid w:val="58931795"/>
    <w:rsid w:val="58E4759A"/>
    <w:rsid w:val="59AB24BB"/>
    <w:rsid w:val="5A957D96"/>
    <w:rsid w:val="5B98317F"/>
    <w:rsid w:val="5C654CA7"/>
    <w:rsid w:val="5C7D6286"/>
    <w:rsid w:val="5C82268E"/>
    <w:rsid w:val="5C846314"/>
    <w:rsid w:val="5C9C2561"/>
    <w:rsid w:val="5D681792"/>
    <w:rsid w:val="5DB350EB"/>
    <w:rsid w:val="5DD82FC8"/>
    <w:rsid w:val="5E2D4789"/>
    <w:rsid w:val="5E3D41FE"/>
    <w:rsid w:val="5E93283E"/>
    <w:rsid w:val="5EB6652D"/>
    <w:rsid w:val="5F182D44"/>
    <w:rsid w:val="5F1C4129"/>
    <w:rsid w:val="5F224FB5"/>
    <w:rsid w:val="608464EF"/>
    <w:rsid w:val="608508AD"/>
    <w:rsid w:val="60F20140"/>
    <w:rsid w:val="61107FF2"/>
    <w:rsid w:val="61112140"/>
    <w:rsid w:val="611E2ACB"/>
    <w:rsid w:val="61943A57"/>
    <w:rsid w:val="61BE2AA8"/>
    <w:rsid w:val="621F15B7"/>
    <w:rsid w:val="62830E1C"/>
    <w:rsid w:val="62C258A1"/>
    <w:rsid w:val="633B34A5"/>
    <w:rsid w:val="63522B22"/>
    <w:rsid w:val="63A70B3A"/>
    <w:rsid w:val="63B90893"/>
    <w:rsid w:val="63F87D22"/>
    <w:rsid w:val="64801660"/>
    <w:rsid w:val="64F655DD"/>
    <w:rsid w:val="65AD581D"/>
    <w:rsid w:val="661C58B5"/>
    <w:rsid w:val="664971B2"/>
    <w:rsid w:val="66666A8A"/>
    <w:rsid w:val="66921745"/>
    <w:rsid w:val="66F6337F"/>
    <w:rsid w:val="671D548B"/>
    <w:rsid w:val="672A7AB8"/>
    <w:rsid w:val="67830ADB"/>
    <w:rsid w:val="67CC581F"/>
    <w:rsid w:val="67D31EFE"/>
    <w:rsid w:val="68212C69"/>
    <w:rsid w:val="686328AE"/>
    <w:rsid w:val="68D67EF7"/>
    <w:rsid w:val="69182351"/>
    <w:rsid w:val="69C828BF"/>
    <w:rsid w:val="69CB3832"/>
    <w:rsid w:val="6A2A21A7"/>
    <w:rsid w:val="6A6238ED"/>
    <w:rsid w:val="6A68509E"/>
    <w:rsid w:val="6ABB2A5D"/>
    <w:rsid w:val="6AEB755E"/>
    <w:rsid w:val="6B5325D7"/>
    <w:rsid w:val="6C021003"/>
    <w:rsid w:val="6C521745"/>
    <w:rsid w:val="6CA905F8"/>
    <w:rsid w:val="6D321C82"/>
    <w:rsid w:val="6D9B76E3"/>
    <w:rsid w:val="6DB620A5"/>
    <w:rsid w:val="6E723A91"/>
    <w:rsid w:val="6E9A5523"/>
    <w:rsid w:val="6E9C0F62"/>
    <w:rsid w:val="6EAB3EB2"/>
    <w:rsid w:val="6F0830DB"/>
    <w:rsid w:val="6F085CC9"/>
    <w:rsid w:val="6F3F66A0"/>
    <w:rsid w:val="6F453898"/>
    <w:rsid w:val="6FAF18A1"/>
    <w:rsid w:val="6FF94AA9"/>
    <w:rsid w:val="701E2184"/>
    <w:rsid w:val="7061196E"/>
    <w:rsid w:val="706C1141"/>
    <w:rsid w:val="709479D3"/>
    <w:rsid w:val="709D3531"/>
    <w:rsid w:val="70C96594"/>
    <w:rsid w:val="70CA3C94"/>
    <w:rsid w:val="71620B0D"/>
    <w:rsid w:val="717D62CA"/>
    <w:rsid w:val="717E55A4"/>
    <w:rsid w:val="71806175"/>
    <w:rsid w:val="71862EEA"/>
    <w:rsid w:val="71A1745F"/>
    <w:rsid w:val="721455EC"/>
    <w:rsid w:val="72E133AF"/>
    <w:rsid w:val="737E6A02"/>
    <w:rsid w:val="73AC7A68"/>
    <w:rsid w:val="73E7745D"/>
    <w:rsid w:val="73F751C6"/>
    <w:rsid w:val="74AA2238"/>
    <w:rsid w:val="74DA48CB"/>
    <w:rsid w:val="754A66FF"/>
    <w:rsid w:val="7620546A"/>
    <w:rsid w:val="76417DB0"/>
    <w:rsid w:val="765320E5"/>
    <w:rsid w:val="76AE24B4"/>
    <w:rsid w:val="7717683B"/>
    <w:rsid w:val="77667C7B"/>
    <w:rsid w:val="77AD62C7"/>
    <w:rsid w:val="791D4336"/>
    <w:rsid w:val="7AAF67FA"/>
    <w:rsid w:val="7AFE0079"/>
    <w:rsid w:val="7B4A56E6"/>
    <w:rsid w:val="7CD04806"/>
    <w:rsid w:val="7E186464"/>
    <w:rsid w:val="7E245210"/>
    <w:rsid w:val="7E8671C3"/>
    <w:rsid w:val="7EC47257"/>
    <w:rsid w:val="7F405C73"/>
    <w:rsid w:val="7F5D3D73"/>
    <w:rsid w:val="7F800DEC"/>
    <w:rsid w:val="7F9F508F"/>
    <w:rsid w:val="7FC60ED9"/>
    <w:rsid w:val="FDAD0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en-US" w:bidi="ar-SA"/>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unhideWhenUsed/>
    <w:qFormat/>
    <w:uiPriority w:val="39"/>
    <w:pPr>
      <w:spacing w:after="100"/>
      <w:ind w:left="1320"/>
    </w:pPr>
  </w:style>
  <w:style w:type="paragraph" w:styleId="3">
    <w:name w:val="annotation text"/>
    <w:basedOn w:val="1"/>
    <w:semiHidden/>
    <w:unhideWhenUsed/>
    <w:qFormat/>
    <w:uiPriority w:val="99"/>
    <w:pPr>
      <w:jc w:val="left"/>
    </w:pPr>
  </w:style>
  <w:style w:type="paragraph" w:styleId="4">
    <w:name w:val="toc 5"/>
    <w:basedOn w:val="1"/>
    <w:next w:val="1"/>
    <w:unhideWhenUsed/>
    <w:qFormat/>
    <w:uiPriority w:val="39"/>
    <w:pPr>
      <w:spacing w:after="100"/>
      <w:ind w:left="880"/>
    </w:pPr>
  </w:style>
  <w:style w:type="paragraph" w:styleId="5">
    <w:name w:val="toc 3"/>
    <w:basedOn w:val="1"/>
    <w:next w:val="1"/>
    <w:unhideWhenUsed/>
    <w:qFormat/>
    <w:uiPriority w:val="39"/>
    <w:pPr>
      <w:spacing w:after="100"/>
      <w:ind w:left="440"/>
    </w:pPr>
  </w:style>
  <w:style w:type="paragraph" w:styleId="6">
    <w:name w:val="toc 8"/>
    <w:basedOn w:val="1"/>
    <w:next w:val="1"/>
    <w:unhideWhenUsed/>
    <w:qFormat/>
    <w:uiPriority w:val="39"/>
    <w:pPr>
      <w:spacing w:after="100"/>
      <w:ind w:left="1540"/>
    </w:pPr>
  </w:style>
  <w:style w:type="paragraph" w:styleId="7">
    <w:name w:val="endnote text"/>
    <w:basedOn w:val="1"/>
    <w:link w:val="189"/>
    <w:semiHidden/>
    <w:unhideWhenUsed/>
    <w:qFormat/>
    <w:uiPriority w:val="99"/>
    <w:rPr>
      <w:sz w:val="20"/>
      <w:szCs w:val="20"/>
    </w:rPr>
  </w:style>
  <w:style w:type="paragraph" w:styleId="8">
    <w:name w:val="footer"/>
    <w:basedOn w:val="1"/>
    <w:link w:val="205"/>
    <w:unhideWhenUsed/>
    <w:qFormat/>
    <w:uiPriority w:val="99"/>
    <w:pPr>
      <w:tabs>
        <w:tab w:val="center" w:pos="4153"/>
        <w:tab w:val="right" w:pos="8306"/>
      </w:tabs>
      <w:snapToGrid w:val="0"/>
      <w:jc w:val="left"/>
    </w:pPr>
    <w:rPr>
      <w:sz w:val="18"/>
      <w:szCs w:val="18"/>
    </w:rPr>
  </w:style>
  <w:style w:type="paragraph" w:styleId="9">
    <w:name w:val="header"/>
    <w:basedOn w:val="1"/>
    <w:link w:val="204"/>
    <w:unhideWhenUsed/>
    <w:qFormat/>
    <w:uiPriority w:val="99"/>
    <w:pPr>
      <w:tabs>
        <w:tab w:val="center" w:pos="4153"/>
        <w:tab w:val="right" w:pos="8306"/>
      </w:tabs>
      <w:snapToGrid w:val="0"/>
      <w:jc w:val="center"/>
    </w:pPr>
    <w:rPr>
      <w:sz w:val="18"/>
      <w:szCs w:val="18"/>
    </w:rPr>
  </w:style>
  <w:style w:type="paragraph" w:styleId="10">
    <w:name w:val="toc 1"/>
    <w:basedOn w:val="1"/>
    <w:next w:val="1"/>
    <w:unhideWhenUsed/>
    <w:qFormat/>
    <w:uiPriority w:val="39"/>
    <w:pPr>
      <w:spacing w:after="100"/>
    </w:pPr>
  </w:style>
  <w:style w:type="paragraph" w:styleId="11">
    <w:name w:val="toc 4"/>
    <w:basedOn w:val="1"/>
    <w:next w:val="1"/>
    <w:unhideWhenUsed/>
    <w:qFormat/>
    <w:uiPriority w:val="39"/>
    <w:pPr>
      <w:spacing w:after="100"/>
      <w:ind w:left="660"/>
    </w:pPr>
  </w:style>
  <w:style w:type="paragraph" w:styleId="12">
    <w:name w:val="Subtitle"/>
    <w:basedOn w:val="1"/>
    <w:next w:val="1"/>
    <w:link w:val="171"/>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3">
    <w:name w:val="footnote text"/>
    <w:basedOn w:val="1"/>
    <w:link w:val="188"/>
    <w:semiHidden/>
    <w:unhideWhenUsed/>
    <w:qFormat/>
    <w:uiPriority w:val="99"/>
    <w:rPr>
      <w:sz w:val="20"/>
      <w:szCs w:val="20"/>
    </w:rPr>
  </w:style>
  <w:style w:type="paragraph" w:styleId="14">
    <w:name w:val="toc 6"/>
    <w:basedOn w:val="1"/>
    <w:next w:val="1"/>
    <w:unhideWhenUsed/>
    <w:qFormat/>
    <w:uiPriority w:val="39"/>
    <w:pPr>
      <w:spacing w:after="100"/>
      <w:ind w:left="1100"/>
    </w:pPr>
  </w:style>
  <w:style w:type="paragraph" w:styleId="15">
    <w:name w:val="table of figures"/>
    <w:basedOn w:val="1"/>
    <w:next w:val="1"/>
    <w:unhideWhenUsed/>
    <w:qFormat/>
    <w:uiPriority w:val="99"/>
  </w:style>
  <w:style w:type="paragraph" w:styleId="16">
    <w:name w:val="toc 2"/>
    <w:basedOn w:val="1"/>
    <w:next w:val="1"/>
    <w:unhideWhenUsed/>
    <w:qFormat/>
    <w:uiPriority w:val="39"/>
    <w:pPr>
      <w:spacing w:after="100"/>
      <w:ind w:left="220"/>
    </w:pPr>
  </w:style>
  <w:style w:type="paragraph" w:styleId="17">
    <w:name w:val="toc 9"/>
    <w:basedOn w:val="1"/>
    <w:next w:val="1"/>
    <w:unhideWhenUsed/>
    <w:qFormat/>
    <w:uiPriority w:val="39"/>
    <w:pPr>
      <w:spacing w:after="100"/>
      <w:ind w:left="1760"/>
    </w:pPr>
  </w:style>
  <w:style w:type="paragraph" w:styleId="18">
    <w:name w:val="Title"/>
    <w:basedOn w:val="1"/>
    <w:next w:val="1"/>
    <w:link w:val="170"/>
    <w:qFormat/>
    <w:uiPriority w:val="10"/>
    <w:pPr>
      <w:spacing w:after="80"/>
      <w:contextualSpacing/>
    </w:pPr>
    <w:rPr>
      <w:rFonts w:ascii="Arial" w:hAnsi="Arial" w:eastAsia="Arial" w:cs="Arial"/>
      <w:spacing w:val="-10"/>
      <w:sz w:val="56"/>
      <w:szCs w:val="56"/>
    </w:rPr>
  </w:style>
  <w:style w:type="table" w:styleId="20">
    <w:name w:val="Table Grid"/>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Strong"/>
    <w:basedOn w:val="21"/>
    <w:qFormat/>
    <w:uiPriority w:val="22"/>
    <w:rPr>
      <w:b/>
      <w:bCs/>
    </w:rPr>
  </w:style>
  <w:style w:type="character" w:styleId="23">
    <w:name w:val="endnote reference"/>
    <w:basedOn w:val="21"/>
    <w:semiHidden/>
    <w:unhideWhenUsed/>
    <w:qFormat/>
    <w:uiPriority w:val="99"/>
    <w:rPr>
      <w:vertAlign w:val="superscript"/>
    </w:rPr>
  </w:style>
  <w:style w:type="character" w:styleId="24">
    <w:name w:val="FollowedHyperlink"/>
    <w:basedOn w:val="21"/>
    <w:semiHidden/>
    <w:unhideWhenUsed/>
    <w:qFormat/>
    <w:uiPriority w:val="99"/>
    <w:rPr>
      <w:color w:val="954F72" w:themeColor="followedHyperlink"/>
      <w:u w:val="single"/>
      <w14:textFill>
        <w14:solidFill>
          <w14:schemeClr w14:val="folHlink"/>
        </w14:solidFill>
      </w14:textFill>
    </w:rPr>
  </w:style>
  <w:style w:type="character" w:styleId="25">
    <w:name w:val="Emphasis"/>
    <w:basedOn w:val="21"/>
    <w:qFormat/>
    <w:uiPriority w:val="20"/>
    <w:rPr>
      <w:i/>
      <w:iCs/>
    </w:rPr>
  </w:style>
  <w:style w:type="character" w:styleId="26">
    <w:name w:val="Hyperlink"/>
    <w:basedOn w:val="21"/>
    <w:unhideWhenUsed/>
    <w:qFormat/>
    <w:uiPriority w:val="99"/>
    <w:rPr>
      <w:color w:val="0563C1" w:themeColor="hyperlink"/>
      <w:u w:val="single"/>
      <w14:textFill>
        <w14:solidFill>
          <w14:schemeClr w14:val="hlink"/>
        </w14:solidFill>
      </w14:textFill>
    </w:rPr>
  </w:style>
  <w:style w:type="character" w:styleId="27">
    <w:name w:val="footnote reference"/>
    <w:basedOn w:val="21"/>
    <w:semiHidden/>
    <w:unhideWhenUsed/>
    <w:qFormat/>
    <w:uiPriority w:val="99"/>
    <w:rPr>
      <w:vertAlign w:val="superscript"/>
    </w:rPr>
  </w:style>
  <w:style w:type="table" w:customStyle="1" w:styleId="28">
    <w:name w:val="Table Grid Light"/>
    <w:basedOn w:val="1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29">
    <w:name w:val="无格式表格 11"/>
    <w:basedOn w:val="1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0">
    <w:name w:val="无格式表格 21"/>
    <w:basedOn w:val="19"/>
    <w:qFormat/>
    <w:uiPriority w:val="59"/>
    <w:tblPr>
      <w:tblBorders>
        <w:top w:val="single" w:color="000000" w:themeColor="text1" w:sz="4" w:space="0"/>
        <w:bottom w:val="singl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1">
    <w:name w:val="无格式表格 31"/>
    <w:basedOn w:val="1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2">
    <w:name w:val="无格式表格 41"/>
    <w:basedOn w:val="1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
    <w:name w:val="无格式表格 51"/>
    <w:basedOn w:val="1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4">
    <w:name w:val="网格表 1 浅色1"/>
    <w:basedOn w:val="1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35">
    <w:name w:val="Grid Table 1 Light - Accent 1"/>
    <w:basedOn w:val="1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36">
    <w:name w:val="Grid Table 1 Light - Accent 2"/>
    <w:basedOn w:val="1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37">
    <w:name w:val="Grid Table 1 Light - Accent 3"/>
    <w:basedOn w:val="1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38">
    <w:name w:val="Grid Table 1 Light - Accent 4"/>
    <w:basedOn w:val="1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39">
    <w:name w:val="Grid Table 1 Light - Accent 5"/>
    <w:basedOn w:val="1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40">
    <w:name w:val="Grid Table 1 Light - Accent 6"/>
    <w:basedOn w:val="1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41">
    <w:name w:val="网格表 21"/>
    <w:basedOn w:val="1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2">
    <w:name w:val="Grid Table 2 - Accent 1"/>
    <w:basedOn w:val="1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43">
    <w:name w:val="Grid Table 2 - Accent 2"/>
    <w:basedOn w:val="1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44">
    <w:name w:val="Grid Table 2 - Accent 3"/>
    <w:basedOn w:val="1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45">
    <w:name w:val="Grid Table 2 - Accent 4"/>
    <w:basedOn w:val="1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46">
    <w:name w:val="Grid Table 2 - Accent 5"/>
    <w:basedOn w:val="19"/>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47">
    <w:name w:val="Grid Table 2 - Accent 6"/>
    <w:basedOn w:val="1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48">
    <w:name w:val="网格表 31"/>
    <w:basedOn w:val="1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9">
    <w:name w:val="Grid Table 3 - Accent 1"/>
    <w:basedOn w:val="1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50">
    <w:name w:val="Grid Table 3 - Accent 2"/>
    <w:basedOn w:val="1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1">
    <w:name w:val="Grid Table 3 - Accent 3"/>
    <w:basedOn w:val="1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2">
    <w:name w:val="Grid Table 3 - Accent 4"/>
    <w:basedOn w:val="1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3">
    <w:name w:val="Grid Table 3 - Accent 5"/>
    <w:basedOn w:val="19"/>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54">
    <w:name w:val="Grid Table 3 - Accent 6"/>
    <w:basedOn w:val="1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5">
    <w:name w:val="网格表 41"/>
    <w:basedOn w:val="1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 Accent 1"/>
    <w:basedOn w:val="19"/>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57">
    <w:name w:val="Grid Table 4 - Accent 2"/>
    <w:basedOn w:val="1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8">
    <w:name w:val="Grid Table 4 - Accent 3"/>
    <w:basedOn w:val="19"/>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9">
    <w:name w:val="Grid Table 4 - Accent 4"/>
    <w:basedOn w:val="1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0">
    <w:name w:val="Grid Table 4 - Accent 5"/>
    <w:basedOn w:val="19"/>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61">
    <w:name w:val="Grid Table 4 - Accent 6"/>
    <w:basedOn w:val="1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2">
    <w:name w:val="网格表 5 深色1"/>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5 Dark- Accent 1"/>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64">
    <w:name w:val="Grid Table 5 Dark - Accent 2"/>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65">
    <w:name w:val="Grid Table 5 Dark - Accent 3"/>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66">
    <w:name w:val="Grid Table 5 Dark- Accent 4"/>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67">
    <w:name w:val="Grid Table 5 Dark - Accent 5"/>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68">
    <w:name w:val="Grid Table 5 Dark - Accent 6"/>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69">
    <w:name w:val="网格表 6 彩色1"/>
    <w:basedOn w:val="1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6 Colorful - Accent 1"/>
    <w:basedOn w:val="19"/>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1">
    <w:name w:val="Grid Table 6 Colorful - Accent 2"/>
    <w:basedOn w:val="1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2">
    <w:name w:val="Grid Table 6 Colorful - Accent 3"/>
    <w:basedOn w:val="1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73">
    <w:name w:val="Grid Table 6 Colorful - Accent 4"/>
    <w:basedOn w:val="1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4">
    <w:name w:val="Grid Table 6 Colorful - Accent 5"/>
    <w:basedOn w:val="19"/>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75">
    <w:name w:val="Grid Table 6 Colorful - Accent 6"/>
    <w:basedOn w:val="1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76">
    <w:name w:val="网格表 7 彩色1"/>
    <w:basedOn w:val="1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 Accent 1"/>
    <w:basedOn w:val="19"/>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8">
    <w:name w:val="Grid Table 7 Colorful - Accent 2"/>
    <w:basedOn w:val="1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9">
    <w:name w:val="Grid Table 7 Colorful - Accent 3"/>
    <w:basedOn w:val="1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0">
    <w:name w:val="Grid Table 7 Colorful - Accent 4"/>
    <w:basedOn w:val="1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1">
    <w:name w:val="Grid Table 7 Colorful - Accent 5"/>
    <w:basedOn w:val="19"/>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82">
    <w:name w:val="Grid Table 7 Colorful - Accent 6"/>
    <w:basedOn w:val="1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83">
    <w:name w:val="清单表 1 浅色1"/>
    <w:basedOn w:val="1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4">
    <w:name w:val="List Table 1 Light - Accent 1"/>
    <w:basedOn w:val="19"/>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85">
    <w:name w:val="List Table 1 Light - Accent 2"/>
    <w:basedOn w:val="19"/>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86">
    <w:name w:val="List Table 1 Light - Accent 3"/>
    <w:basedOn w:val="19"/>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87">
    <w:name w:val="List Table 1 Light - Accent 4"/>
    <w:basedOn w:val="19"/>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88">
    <w:name w:val="List Table 1 Light - Accent 5"/>
    <w:basedOn w:val="19"/>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89">
    <w:name w:val="List Table 1 Light - Accent 6"/>
    <w:basedOn w:val="19"/>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90">
    <w:name w:val="清单表 21"/>
    <w:basedOn w:val="1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List Table 2 - Accent 1"/>
    <w:basedOn w:val="19"/>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92">
    <w:name w:val="List Table 2 - Accent 2"/>
    <w:basedOn w:val="1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93">
    <w:name w:val="List Table 2 - Accent 3"/>
    <w:basedOn w:val="1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94">
    <w:name w:val="List Table 2 - Accent 4"/>
    <w:basedOn w:val="1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95">
    <w:name w:val="List Table 2 - Accent 5"/>
    <w:basedOn w:val="19"/>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96">
    <w:name w:val="List Table 2 - Accent 6"/>
    <w:basedOn w:val="1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97">
    <w:name w:val="清单表 31"/>
    <w:basedOn w:val="1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8">
    <w:name w:val="List Table 3 - Accent 1"/>
    <w:basedOn w:val="19"/>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99">
    <w:name w:val="List Table 3 - Accent 2"/>
    <w:basedOn w:val="1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00">
    <w:name w:val="List Table 3 - Accent 3"/>
    <w:basedOn w:val="1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01">
    <w:name w:val="List Table 3 - Accent 4"/>
    <w:basedOn w:val="1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02">
    <w:name w:val="List Table 3 - Accent 5"/>
    <w:basedOn w:val="19"/>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03">
    <w:name w:val="List Table 3 - Accent 6"/>
    <w:basedOn w:val="1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04">
    <w:name w:val="清单表 41"/>
    <w:basedOn w:val="1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5">
    <w:name w:val="List Table 4 - Accent 1"/>
    <w:basedOn w:val="19"/>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06">
    <w:name w:val="List Table 4 - Accent 2"/>
    <w:basedOn w:val="1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07">
    <w:name w:val="List Table 4 - Accent 3"/>
    <w:basedOn w:val="1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08">
    <w:name w:val="List Table 4 - Accent 4"/>
    <w:basedOn w:val="1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9">
    <w:name w:val="List Table 4 - Accent 5"/>
    <w:basedOn w:val="19"/>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10">
    <w:name w:val="List Table 4 - Accent 6"/>
    <w:basedOn w:val="1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11">
    <w:name w:val="清单表 5 深色1"/>
    <w:basedOn w:val="1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2">
    <w:name w:val="List Table 5 Dark - Accent 1"/>
    <w:basedOn w:val="19"/>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13">
    <w:name w:val="List Table 5 Dark - Accent 2"/>
    <w:basedOn w:val="1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14">
    <w:name w:val="List Table 5 Dark - Accent 3"/>
    <w:basedOn w:val="1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15">
    <w:name w:val="List Table 5 Dark - Accent 4"/>
    <w:basedOn w:val="1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16">
    <w:name w:val="List Table 5 Dark - Accent 5"/>
    <w:basedOn w:val="19"/>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17">
    <w:name w:val="List Table 5 Dark - Accent 6"/>
    <w:basedOn w:val="1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18">
    <w:name w:val="清单表 6 彩色1"/>
    <w:basedOn w:val="1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9">
    <w:name w:val="List Table 6 Colorful - Accent 1"/>
    <w:basedOn w:val="19"/>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0">
    <w:name w:val="List Table 6 Colorful - Accent 2"/>
    <w:basedOn w:val="19"/>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List Table 6 Colorful - Accent 3"/>
    <w:basedOn w:val="19"/>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2">
    <w:name w:val="List Table 6 Colorful - Accent 4"/>
    <w:basedOn w:val="19"/>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List Table 6 Colorful - Accent 5"/>
    <w:basedOn w:val="19"/>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24">
    <w:name w:val="List Table 6 Colorful - Accent 6"/>
    <w:basedOn w:val="19"/>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25">
    <w:name w:val="清单表 7 彩色1"/>
    <w:basedOn w:val="1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List Table 7 Colorful - Accent 1"/>
    <w:basedOn w:val="19"/>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7">
    <w:name w:val="List Table 7 Colorful - Accent 2"/>
    <w:basedOn w:val="19"/>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8">
    <w:name w:val="List Table 7 Colorful - Accent 3"/>
    <w:basedOn w:val="19"/>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9">
    <w:name w:val="List Table 7 Colorful - Accent 4"/>
    <w:basedOn w:val="19"/>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0">
    <w:name w:val="List Table 7 Colorful - Accent 5"/>
    <w:basedOn w:val="19"/>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31">
    <w:name w:val="List Table 7 Colorful - Accent 6"/>
    <w:basedOn w:val="19"/>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2">
    <w:name w:val="Lined - Accent"/>
    <w:basedOn w:val="1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33">
    <w:name w:val="Lined - Accent 1"/>
    <w:basedOn w:val="19"/>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34">
    <w:name w:val="Lined - Accent 2"/>
    <w:basedOn w:val="19"/>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35">
    <w:name w:val="Lined - Accent 3"/>
    <w:basedOn w:val="19"/>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36">
    <w:name w:val="Lined - Accent 4"/>
    <w:basedOn w:val="19"/>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37">
    <w:name w:val="Lined - Accent 5"/>
    <w:basedOn w:val="19"/>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38">
    <w:name w:val="Lined - Accent 6"/>
    <w:basedOn w:val="19"/>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39">
    <w:name w:val="Bordered &amp; Lined - Accent"/>
    <w:basedOn w:val="1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0">
    <w:name w:val="Bordered &amp; Lined - Accent 1"/>
    <w:basedOn w:val="19"/>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41">
    <w:name w:val="Bordered &amp; Lined - Accent 2"/>
    <w:basedOn w:val="1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2">
    <w:name w:val="Bordered &amp; Lined - Accent 3"/>
    <w:basedOn w:val="1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3">
    <w:name w:val="Bordered &amp; Lined - Accent 4"/>
    <w:basedOn w:val="1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4">
    <w:name w:val="Bordered &amp; Lined - Accent 5"/>
    <w:basedOn w:val="19"/>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45">
    <w:name w:val="Bordered &amp; Lined - Accent 6"/>
    <w:basedOn w:val="1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6">
    <w:name w:val="Bordered"/>
    <w:basedOn w:val="1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47">
    <w:name w:val="Bordered - Accent 1"/>
    <w:basedOn w:val="1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48">
    <w:name w:val="Bordered - Accent 2"/>
    <w:basedOn w:val="1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49">
    <w:name w:val="Bordered - Accent 3"/>
    <w:basedOn w:val="1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50">
    <w:name w:val="Bordered - Accent 4"/>
    <w:basedOn w:val="1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51">
    <w:name w:val="Bordered - Accent 5"/>
    <w:basedOn w:val="1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52">
    <w:name w:val="Bordered - Accent 6"/>
    <w:basedOn w:val="1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paragraph" w:customStyle="1" w:styleId="153">
    <w:name w:val="标题 11"/>
    <w:basedOn w:val="1"/>
    <w:next w:val="1"/>
    <w:link w:val="161"/>
    <w:qFormat/>
    <w:uiPriority w:val="9"/>
    <w:pPr>
      <w:keepNext/>
      <w:keepLines/>
      <w:spacing w:before="360" w:after="80"/>
      <w:outlineLvl w:val="0"/>
    </w:pPr>
    <w:rPr>
      <w:rFonts w:ascii="Arial" w:hAnsi="Arial" w:eastAsia="Arial" w:cs="Arial"/>
      <w:color w:val="2E75B6" w:themeColor="accent1" w:themeShade="BF"/>
      <w:sz w:val="40"/>
      <w:szCs w:val="40"/>
    </w:rPr>
  </w:style>
  <w:style w:type="paragraph" w:customStyle="1" w:styleId="154">
    <w:name w:val="标题 31"/>
    <w:basedOn w:val="1"/>
    <w:next w:val="1"/>
    <w:link w:val="163"/>
    <w:unhideWhenUsed/>
    <w:qFormat/>
    <w:uiPriority w:val="9"/>
    <w:pPr>
      <w:keepNext/>
      <w:keepLines/>
      <w:spacing w:before="160" w:after="80"/>
      <w:outlineLvl w:val="2"/>
    </w:pPr>
    <w:rPr>
      <w:rFonts w:ascii="Arial" w:hAnsi="Arial" w:eastAsia="Arial" w:cs="Arial"/>
      <w:color w:val="2E75B6" w:themeColor="accent1" w:themeShade="BF"/>
      <w:sz w:val="28"/>
      <w:szCs w:val="28"/>
    </w:rPr>
  </w:style>
  <w:style w:type="paragraph" w:customStyle="1" w:styleId="155">
    <w:name w:val="标题 41"/>
    <w:basedOn w:val="1"/>
    <w:next w:val="1"/>
    <w:link w:val="164"/>
    <w:unhideWhenUsed/>
    <w:qFormat/>
    <w:uiPriority w:val="9"/>
    <w:pPr>
      <w:keepNext/>
      <w:keepLines/>
      <w:spacing w:before="80" w:after="40"/>
      <w:outlineLvl w:val="3"/>
    </w:pPr>
    <w:rPr>
      <w:rFonts w:ascii="Arial" w:hAnsi="Arial" w:eastAsia="Arial" w:cs="Arial"/>
      <w:i/>
      <w:iCs/>
      <w:color w:val="2E75B6" w:themeColor="accent1" w:themeShade="BF"/>
    </w:rPr>
  </w:style>
  <w:style w:type="paragraph" w:customStyle="1" w:styleId="156">
    <w:name w:val="标题 51"/>
    <w:basedOn w:val="1"/>
    <w:next w:val="1"/>
    <w:link w:val="165"/>
    <w:unhideWhenUsed/>
    <w:qFormat/>
    <w:uiPriority w:val="9"/>
    <w:pPr>
      <w:keepNext/>
      <w:keepLines/>
      <w:spacing w:before="80" w:after="40"/>
      <w:outlineLvl w:val="4"/>
    </w:pPr>
    <w:rPr>
      <w:rFonts w:ascii="Arial" w:hAnsi="Arial" w:eastAsia="Arial" w:cs="Arial"/>
      <w:color w:val="2E75B6" w:themeColor="accent1" w:themeShade="BF"/>
    </w:rPr>
  </w:style>
  <w:style w:type="paragraph" w:customStyle="1" w:styleId="157">
    <w:name w:val="标题 61"/>
    <w:basedOn w:val="1"/>
    <w:next w:val="1"/>
    <w:link w:val="166"/>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customStyle="1" w:styleId="158">
    <w:name w:val="标题 71"/>
    <w:basedOn w:val="1"/>
    <w:next w:val="1"/>
    <w:link w:val="167"/>
    <w:unhideWhenUsed/>
    <w:qFormat/>
    <w:uiPriority w:val="9"/>
    <w:pPr>
      <w:keepNext/>
      <w:keepLines/>
      <w:spacing w:before="4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customStyle="1" w:styleId="159">
    <w:name w:val="标题 81"/>
    <w:basedOn w:val="1"/>
    <w:next w:val="1"/>
    <w:link w:val="168"/>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customStyle="1" w:styleId="160">
    <w:name w:val="标题 91"/>
    <w:basedOn w:val="1"/>
    <w:next w:val="1"/>
    <w:link w:val="169"/>
    <w:unhideWhenUsed/>
    <w:qFormat/>
    <w:uiPriority w:val="9"/>
    <w:pPr>
      <w:keepNext/>
      <w:keepLines/>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1">
    <w:name w:val="Heading 1 Char"/>
    <w:basedOn w:val="21"/>
    <w:link w:val="153"/>
    <w:qFormat/>
    <w:uiPriority w:val="9"/>
    <w:rPr>
      <w:rFonts w:ascii="Arial" w:hAnsi="Arial" w:eastAsia="Arial" w:cs="Arial"/>
      <w:color w:val="2E75B6" w:themeColor="accent1" w:themeShade="BF"/>
      <w:sz w:val="40"/>
      <w:szCs w:val="40"/>
    </w:rPr>
  </w:style>
  <w:style w:type="character" w:customStyle="1" w:styleId="162">
    <w:name w:val="Heading 2 Char"/>
    <w:basedOn w:val="21"/>
    <w:qFormat/>
    <w:uiPriority w:val="9"/>
    <w:rPr>
      <w:rFonts w:ascii="Arial" w:hAnsi="Arial" w:eastAsia="Arial" w:cs="Arial"/>
      <w:color w:val="2E75B6" w:themeColor="accent1" w:themeShade="BF"/>
      <w:sz w:val="32"/>
      <w:szCs w:val="32"/>
    </w:rPr>
  </w:style>
  <w:style w:type="character" w:customStyle="1" w:styleId="163">
    <w:name w:val="Heading 3 Char"/>
    <w:basedOn w:val="21"/>
    <w:link w:val="154"/>
    <w:qFormat/>
    <w:uiPriority w:val="9"/>
    <w:rPr>
      <w:rFonts w:ascii="Arial" w:hAnsi="Arial" w:eastAsia="Arial" w:cs="Arial"/>
      <w:color w:val="2E75B6" w:themeColor="accent1" w:themeShade="BF"/>
      <w:sz w:val="28"/>
      <w:szCs w:val="28"/>
    </w:rPr>
  </w:style>
  <w:style w:type="character" w:customStyle="1" w:styleId="164">
    <w:name w:val="Heading 4 Char"/>
    <w:basedOn w:val="21"/>
    <w:link w:val="155"/>
    <w:qFormat/>
    <w:uiPriority w:val="9"/>
    <w:rPr>
      <w:rFonts w:ascii="Arial" w:hAnsi="Arial" w:eastAsia="Arial" w:cs="Arial"/>
      <w:i/>
      <w:iCs/>
      <w:color w:val="2E75B6" w:themeColor="accent1" w:themeShade="BF"/>
    </w:rPr>
  </w:style>
  <w:style w:type="character" w:customStyle="1" w:styleId="165">
    <w:name w:val="Heading 5 Char"/>
    <w:basedOn w:val="21"/>
    <w:link w:val="156"/>
    <w:qFormat/>
    <w:uiPriority w:val="9"/>
    <w:rPr>
      <w:rFonts w:ascii="Arial" w:hAnsi="Arial" w:eastAsia="Arial" w:cs="Arial"/>
      <w:color w:val="2E75B6" w:themeColor="accent1" w:themeShade="BF"/>
    </w:rPr>
  </w:style>
  <w:style w:type="character" w:customStyle="1" w:styleId="166">
    <w:name w:val="Heading 6 Char"/>
    <w:basedOn w:val="21"/>
    <w:link w:val="15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7">
    <w:name w:val="Heading 7 Char"/>
    <w:basedOn w:val="21"/>
    <w:link w:val="15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8">
    <w:name w:val="Heading 8 Char"/>
    <w:basedOn w:val="21"/>
    <w:link w:val="15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9">
    <w:name w:val="Heading 9 Char"/>
    <w:basedOn w:val="21"/>
    <w:link w:val="16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0">
    <w:name w:val="标题 字符"/>
    <w:basedOn w:val="21"/>
    <w:link w:val="18"/>
    <w:qFormat/>
    <w:uiPriority w:val="10"/>
    <w:rPr>
      <w:rFonts w:ascii="Arial" w:hAnsi="Arial" w:eastAsia="Arial" w:cs="Arial"/>
      <w:spacing w:val="-10"/>
      <w:sz w:val="56"/>
      <w:szCs w:val="56"/>
    </w:rPr>
  </w:style>
  <w:style w:type="character" w:customStyle="1" w:styleId="171">
    <w:name w:val="副标题 字符"/>
    <w:basedOn w:val="21"/>
    <w:link w:val="1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72">
    <w:name w:val="Quote"/>
    <w:basedOn w:val="1"/>
    <w:next w:val="1"/>
    <w:link w:val="17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3">
    <w:name w:val="引用 字符"/>
    <w:basedOn w:val="21"/>
    <w:link w:val="172"/>
    <w:qFormat/>
    <w:uiPriority w:val="29"/>
    <w:rPr>
      <w:i/>
      <w:iCs/>
      <w:color w:val="404040" w:themeColor="text1" w:themeTint="BF"/>
      <w14:textFill>
        <w14:solidFill>
          <w14:schemeClr w14:val="tx1">
            <w14:lumMod w14:val="75000"/>
            <w14:lumOff w14:val="25000"/>
          </w14:schemeClr>
        </w14:solidFill>
      </w14:textFill>
    </w:rPr>
  </w:style>
  <w:style w:type="paragraph" w:styleId="174">
    <w:name w:val="List Paragraph"/>
    <w:basedOn w:val="1"/>
    <w:qFormat/>
    <w:uiPriority w:val="34"/>
    <w:pPr>
      <w:ind w:left="720"/>
      <w:contextualSpacing/>
    </w:pPr>
  </w:style>
  <w:style w:type="character" w:customStyle="1" w:styleId="175">
    <w:name w:val="明显强调1"/>
    <w:basedOn w:val="21"/>
    <w:qFormat/>
    <w:uiPriority w:val="21"/>
    <w:rPr>
      <w:i/>
      <w:iCs/>
      <w:color w:val="2E75B6" w:themeColor="accent1" w:themeShade="BF"/>
    </w:rPr>
  </w:style>
  <w:style w:type="paragraph" w:styleId="176">
    <w:name w:val="Intense Quote"/>
    <w:basedOn w:val="1"/>
    <w:next w:val="1"/>
    <w:link w:val="177"/>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77">
    <w:name w:val="明显引用 字符"/>
    <w:basedOn w:val="21"/>
    <w:link w:val="176"/>
    <w:qFormat/>
    <w:uiPriority w:val="30"/>
    <w:rPr>
      <w:i/>
      <w:iCs/>
      <w:color w:val="2E75B6" w:themeColor="accent1" w:themeShade="BF"/>
    </w:rPr>
  </w:style>
  <w:style w:type="character" w:customStyle="1" w:styleId="178">
    <w:name w:val="明显参考1"/>
    <w:basedOn w:val="21"/>
    <w:qFormat/>
    <w:uiPriority w:val="32"/>
    <w:rPr>
      <w:b/>
      <w:bCs/>
      <w:smallCaps/>
      <w:color w:val="2E75B6" w:themeColor="accent1" w:themeShade="BF"/>
      <w:spacing w:val="5"/>
    </w:rPr>
  </w:style>
  <w:style w:type="paragraph" w:styleId="179">
    <w:name w:val="No Spacing"/>
    <w:basedOn w:val="1"/>
    <w:qFormat/>
    <w:uiPriority w:val="1"/>
  </w:style>
  <w:style w:type="character" w:customStyle="1" w:styleId="180">
    <w:name w:val="不明显强调1"/>
    <w:basedOn w:val="21"/>
    <w:qFormat/>
    <w:uiPriority w:val="19"/>
    <w:rPr>
      <w:i/>
      <w:iCs/>
      <w:color w:val="404040" w:themeColor="text1" w:themeTint="BF"/>
      <w14:textFill>
        <w14:solidFill>
          <w14:schemeClr w14:val="tx1">
            <w14:lumMod w14:val="75000"/>
            <w14:lumOff w14:val="25000"/>
          </w14:schemeClr>
        </w14:solidFill>
      </w14:textFill>
    </w:rPr>
  </w:style>
  <w:style w:type="character" w:customStyle="1" w:styleId="181">
    <w:name w:val="不明显参考1"/>
    <w:basedOn w:val="2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2">
    <w:name w:val="书籍标题1"/>
    <w:basedOn w:val="21"/>
    <w:qFormat/>
    <w:uiPriority w:val="33"/>
    <w:rPr>
      <w:b/>
      <w:bCs/>
      <w:i/>
      <w:iCs/>
      <w:spacing w:val="5"/>
    </w:rPr>
  </w:style>
  <w:style w:type="paragraph" w:customStyle="1" w:styleId="183">
    <w:name w:val="页眉1"/>
    <w:basedOn w:val="1"/>
    <w:link w:val="184"/>
    <w:unhideWhenUsed/>
    <w:qFormat/>
    <w:uiPriority w:val="99"/>
    <w:pPr>
      <w:tabs>
        <w:tab w:val="center" w:pos="4844"/>
        <w:tab w:val="right" w:pos="9689"/>
      </w:tabs>
    </w:pPr>
  </w:style>
  <w:style w:type="character" w:customStyle="1" w:styleId="184">
    <w:name w:val="Header Char"/>
    <w:basedOn w:val="21"/>
    <w:link w:val="183"/>
    <w:qFormat/>
    <w:uiPriority w:val="99"/>
  </w:style>
  <w:style w:type="paragraph" w:customStyle="1" w:styleId="185">
    <w:name w:val="页脚1"/>
    <w:basedOn w:val="1"/>
    <w:link w:val="186"/>
    <w:unhideWhenUsed/>
    <w:qFormat/>
    <w:uiPriority w:val="99"/>
    <w:pPr>
      <w:tabs>
        <w:tab w:val="center" w:pos="4844"/>
        <w:tab w:val="right" w:pos="9689"/>
      </w:tabs>
    </w:pPr>
  </w:style>
  <w:style w:type="character" w:customStyle="1" w:styleId="186">
    <w:name w:val="Footer Char"/>
    <w:basedOn w:val="21"/>
    <w:link w:val="185"/>
    <w:qFormat/>
    <w:uiPriority w:val="99"/>
  </w:style>
  <w:style w:type="paragraph" w:customStyle="1" w:styleId="187">
    <w:name w:val="题注1"/>
    <w:basedOn w:val="1"/>
    <w:next w:val="1"/>
    <w:unhideWhenUsed/>
    <w:qFormat/>
    <w:uiPriority w:val="35"/>
    <w:pPr>
      <w:spacing w:after="200"/>
    </w:pPr>
    <w:rPr>
      <w:i/>
      <w:iCs/>
      <w:color w:val="44546A" w:themeColor="text2"/>
      <w:sz w:val="18"/>
      <w:szCs w:val="18"/>
      <w14:textFill>
        <w14:solidFill>
          <w14:schemeClr w14:val="tx2"/>
        </w14:solidFill>
      </w14:textFill>
    </w:rPr>
  </w:style>
  <w:style w:type="character" w:customStyle="1" w:styleId="188">
    <w:name w:val="脚注文本 字符"/>
    <w:basedOn w:val="21"/>
    <w:link w:val="13"/>
    <w:semiHidden/>
    <w:qFormat/>
    <w:uiPriority w:val="99"/>
    <w:rPr>
      <w:sz w:val="20"/>
      <w:szCs w:val="20"/>
    </w:rPr>
  </w:style>
  <w:style w:type="character" w:customStyle="1" w:styleId="189">
    <w:name w:val="尾注文本 字符"/>
    <w:basedOn w:val="21"/>
    <w:link w:val="7"/>
    <w:semiHidden/>
    <w:qFormat/>
    <w:uiPriority w:val="99"/>
    <w:rPr>
      <w:sz w:val="20"/>
      <w:szCs w:val="20"/>
    </w:rPr>
  </w:style>
  <w:style w:type="paragraph" w:customStyle="1" w:styleId="190">
    <w:name w:val="TOC 标题1"/>
    <w:unhideWhenUsed/>
    <w:qFormat/>
    <w:uiPriority w:val="39"/>
    <w:rPr>
      <w:rFonts w:asciiTheme="minorHAnsi" w:hAnsiTheme="minorHAnsi" w:eastAsiaTheme="minorEastAsia" w:cstheme="minorBidi"/>
      <w:lang w:val="en-US" w:eastAsia="en-US" w:bidi="ar-SA"/>
    </w:rPr>
  </w:style>
  <w:style w:type="paragraph" w:customStyle="1" w:styleId="191">
    <w:name w:val="标题 21"/>
    <w:basedOn w:val="1"/>
    <w:next w:val="1"/>
    <w:unhideWhenUsed/>
    <w:qFormat/>
    <w:uiPriority w:val="1"/>
    <w:pPr>
      <w:keepNext/>
      <w:keepLines/>
      <w:spacing w:before="260" w:after="260" w:line="416" w:lineRule="auto"/>
      <w:jc w:val="left"/>
      <w:outlineLvl w:val="1"/>
    </w:pPr>
    <w:rPr>
      <w:rFonts w:asciiTheme="majorHAnsi" w:hAnsiTheme="majorHAnsi" w:eastAsiaTheme="majorEastAsia" w:cstheme="majorBidi"/>
      <w:b/>
      <w:bCs/>
      <w:sz w:val="32"/>
      <w:szCs w:val="32"/>
    </w:rPr>
  </w:style>
  <w:style w:type="table" w:customStyle="1" w:styleId="192">
    <w:name w:val="Table Grid_0"/>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3">
    <w:name w:val="CustomTableStyle"/>
    <w:basedOn w:val="146"/>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Table Grid_1"/>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5">
    <w:name w:val="CustomTableStyle_0"/>
    <w:basedOn w:val="146"/>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Table Grid_2"/>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7">
    <w:name w:val="Table Grid_3"/>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8">
    <w:name w:val="Table Grid_4"/>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9">
    <w:name w:val="Table Grid_5"/>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0">
    <w:name w:val="Table Grid_6"/>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1">
    <w:name w:val="Table Grid_7"/>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2">
    <w:name w:val="Table Grid_8"/>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3">
    <w:name w:val="Table Grid_9"/>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04">
    <w:name w:val="页眉 字符"/>
    <w:basedOn w:val="21"/>
    <w:link w:val="9"/>
    <w:qFormat/>
    <w:uiPriority w:val="99"/>
    <w:rPr>
      <w:sz w:val="18"/>
      <w:szCs w:val="18"/>
      <w:lang w:eastAsia="en-US"/>
    </w:rPr>
  </w:style>
  <w:style w:type="character" w:customStyle="1" w:styleId="205">
    <w:name w:val="页脚 字符"/>
    <w:basedOn w:val="21"/>
    <w:link w:val="8"/>
    <w:qFormat/>
    <w:uiPriority w:val="99"/>
    <w:rPr>
      <w:sz w:val="18"/>
      <w:szCs w:val="18"/>
      <w:lang w:eastAsia="en-US"/>
    </w:rPr>
  </w:style>
  <w:style w:type="table" w:customStyle="1" w:styleId="206">
    <w:name w:val="Table Normal"/>
    <w:semiHidden/>
    <w:unhideWhenUsed/>
    <w:qFormat/>
    <w:uiPriority w:val="0"/>
    <w:tblPr>
      <w:tblCellMar>
        <w:top w:w="0" w:type="dxa"/>
        <w:left w:w="0" w:type="dxa"/>
        <w:bottom w:w="0" w:type="dxa"/>
        <w:right w:w="0" w:type="dxa"/>
      </w:tblCellMar>
    </w:tblPr>
  </w:style>
  <w:style w:type="paragraph" w:customStyle="1" w:styleId="207">
    <w:name w:val="Table Text"/>
    <w:basedOn w:val="1"/>
    <w:semiHidden/>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5157</Words>
  <Characters>5354</Characters>
  <Lines>2593</Lines>
  <Paragraphs>2220</Paragraphs>
  <TotalTime>2</TotalTime>
  <ScaleCrop>false</ScaleCrop>
  <LinksUpToDate>false</LinksUpToDate>
  <CharactersWithSpaces>5493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2025-08-01T09:05:00Z</dcterms:created>
  <dc:creator>祝爱斌</dc:creator>
  <cp:lastModifiedBy>斑斑</cp:lastModifiedBy>
  <cp:lastPrinted>2025-09-22T00:33:00Z</cp:lastPrinted>
  <dcterms:modified xsi:type="dcterms:W3CDTF">2026-05-24T10:55:09Z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774C6FF01B3A45578CC0BF8867885646_13</vt:lpwstr>
  </property>
  <property fmtid="{D5CDD505-2E9C-101B-9397-08002B2CF9AE}" pid="4" name="KSOTemplateDocerSaveRecord">
    <vt:lpwstr>eyJoZGlkIjoiYzAzOTZkZDU5OTU4OWQ1NGUyNWZmMjk1NjY2YWQxYzEiLCJ1c2VySWQiOiIxMjA0MjQ0NTc4In0=</vt:lpwstr>
  </property>
</Properties>
</file>