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center"/>
        <w:rPr>
          <w:rFonts w:eastAsia="楷体_GB2312"/>
          <w:sz w:val="44"/>
        </w:rPr>
      </w:pPr>
    </w:p>
    <w:p>
      <w:pPr>
        <w:ind w:left="-9" w:leftChars="-136" w:hanging="277" w:hangingChars="63"/>
        <w:jc w:val="center"/>
        <w:rPr>
          <w:rFonts w:hint="eastAsia" w:eastAsia="楷体_GB2312"/>
          <w:sz w:val="44"/>
          <w:szCs w:val="44"/>
          <w:lang w:val="en-US" w:eastAsia="zh-CN"/>
        </w:rPr>
      </w:pPr>
      <w:r>
        <w:rPr>
          <w:rFonts w:hint="eastAsia" w:eastAsia="楷体_GB2312"/>
          <w:sz w:val="44"/>
          <w:szCs w:val="44"/>
        </w:rPr>
        <w:t>安徽省亳州煤业有限公司</w:t>
      </w:r>
      <w:r>
        <w:rPr>
          <w:rFonts w:hint="eastAsia" w:eastAsia="楷体_GB2312"/>
          <w:sz w:val="44"/>
          <w:szCs w:val="44"/>
          <w:lang w:eastAsia="zh-CN"/>
        </w:rPr>
        <w:t>袁店二井煤矿</w:t>
      </w:r>
    </w:p>
    <w:p>
      <w:pPr>
        <w:spacing w:line="276" w:lineRule="auto"/>
        <w:jc w:val="center"/>
        <w:rPr>
          <w:rFonts w:hint="eastAsia" w:eastAsia="楷体_GB2312"/>
          <w:sz w:val="44"/>
        </w:rPr>
      </w:pPr>
    </w:p>
    <w:p>
      <w:pPr>
        <w:spacing w:line="276" w:lineRule="auto"/>
        <w:jc w:val="center"/>
        <w:rPr>
          <w:rFonts w:hint="eastAsia" w:eastAsia="楷体_GB2312"/>
          <w:sz w:val="44"/>
          <w:szCs w:val="44"/>
          <w:lang w:eastAsia="zh-CN"/>
        </w:rPr>
      </w:pPr>
      <w:r>
        <w:rPr>
          <w:rFonts w:hint="eastAsia" w:eastAsia="楷体_GB2312"/>
          <w:sz w:val="36"/>
        </w:rPr>
        <w:t xml:space="preserve"> </w:t>
      </w:r>
      <w:r>
        <w:rPr>
          <w:rFonts w:hint="eastAsia" w:eastAsia="楷体_GB2312"/>
          <w:sz w:val="44"/>
          <w:szCs w:val="44"/>
          <w:lang w:eastAsia="zh-CN"/>
        </w:rPr>
        <w:t>主井箕斗</w:t>
      </w:r>
    </w:p>
    <w:p>
      <w:pPr>
        <w:spacing w:line="276" w:lineRule="auto"/>
        <w:jc w:val="center"/>
        <w:rPr>
          <w:rFonts w:hint="eastAsia"/>
          <w:sz w:val="28"/>
        </w:rPr>
      </w:pPr>
    </w:p>
    <w:p>
      <w:pPr>
        <w:spacing w:line="276" w:lineRule="auto"/>
        <w:jc w:val="center"/>
        <w:rPr>
          <w:rFonts w:hint="eastAsia" w:eastAsia="楷体_GB2312"/>
          <w:b/>
          <w:bCs/>
          <w:sz w:val="72"/>
        </w:rPr>
      </w:pPr>
      <w:r>
        <w:rPr>
          <w:rFonts w:hint="eastAsia" w:eastAsia="楷体_GB2312"/>
          <w:b/>
          <w:bCs/>
          <w:sz w:val="72"/>
        </w:rPr>
        <w:t>技</w:t>
      </w:r>
    </w:p>
    <w:p>
      <w:pPr>
        <w:spacing w:line="276" w:lineRule="auto"/>
        <w:jc w:val="center"/>
        <w:rPr>
          <w:rFonts w:hint="eastAsia" w:eastAsia="楷体_GB2312"/>
          <w:b/>
          <w:bCs/>
          <w:sz w:val="72"/>
        </w:rPr>
      </w:pPr>
      <w:r>
        <w:rPr>
          <w:rFonts w:hint="eastAsia" w:eastAsia="楷体_GB2312"/>
          <w:b/>
          <w:bCs/>
          <w:sz w:val="72"/>
        </w:rPr>
        <w:t>术</w:t>
      </w:r>
    </w:p>
    <w:p>
      <w:pPr>
        <w:spacing w:line="276" w:lineRule="auto"/>
        <w:jc w:val="center"/>
        <w:rPr>
          <w:rFonts w:hint="eastAsia" w:eastAsia="楷体_GB2312"/>
          <w:b/>
          <w:bCs/>
          <w:sz w:val="72"/>
        </w:rPr>
      </w:pPr>
      <w:r>
        <w:rPr>
          <w:rFonts w:hint="eastAsia" w:eastAsia="楷体_GB2312"/>
          <w:b/>
          <w:bCs/>
          <w:sz w:val="72"/>
        </w:rPr>
        <w:t>规</w:t>
      </w:r>
    </w:p>
    <w:p>
      <w:pPr>
        <w:spacing w:line="276" w:lineRule="auto"/>
        <w:jc w:val="center"/>
        <w:rPr>
          <w:rFonts w:hint="eastAsia" w:eastAsia="楷体_GB2312"/>
          <w:b/>
          <w:bCs/>
          <w:sz w:val="72"/>
        </w:rPr>
      </w:pPr>
      <w:r>
        <w:rPr>
          <w:rFonts w:hint="eastAsia" w:eastAsia="楷体_GB2312"/>
          <w:b/>
          <w:bCs/>
          <w:sz w:val="72"/>
        </w:rPr>
        <w:t>格</w:t>
      </w:r>
    </w:p>
    <w:p>
      <w:pPr>
        <w:spacing w:line="276" w:lineRule="auto"/>
        <w:jc w:val="center"/>
        <w:rPr>
          <w:rFonts w:hint="eastAsia" w:eastAsia="楷体_GB2312"/>
          <w:b/>
          <w:bCs/>
          <w:sz w:val="72"/>
        </w:rPr>
      </w:pPr>
      <w:r>
        <w:rPr>
          <w:rFonts w:hint="eastAsia" w:eastAsia="楷体_GB2312"/>
          <w:b/>
          <w:bCs/>
          <w:sz w:val="72"/>
        </w:rPr>
        <w:t>书</w:t>
      </w:r>
    </w:p>
    <w:p>
      <w:pPr>
        <w:spacing w:line="276" w:lineRule="auto"/>
        <w:ind w:firstLine="3080" w:firstLineChars="700"/>
        <w:rPr>
          <w:rFonts w:eastAsia="楷体_GB2312"/>
          <w:sz w:val="44"/>
        </w:rPr>
      </w:pPr>
    </w:p>
    <w:p>
      <w:pPr>
        <w:spacing w:line="276" w:lineRule="auto"/>
        <w:ind w:firstLine="3080" w:firstLineChars="700"/>
        <w:rPr>
          <w:rFonts w:eastAsia="楷体_GB2312"/>
          <w:sz w:val="44"/>
        </w:rPr>
      </w:pPr>
    </w:p>
    <w:p>
      <w:pPr>
        <w:spacing w:line="276" w:lineRule="auto"/>
        <w:rPr>
          <w:rFonts w:hint="eastAsia" w:eastAsia="楷体_GB2312"/>
          <w:sz w:val="44"/>
        </w:rPr>
      </w:pPr>
    </w:p>
    <w:p>
      <w:pPr>
        <w:spacing w:line="276" w:lineRule="auto"/>
        <w:rPr>
          <w:rFonts w:hint="eastAsia" w:eastAsia="楷体_GB2312"/>
          <w:sz w:val="44"/>
        </w:rPr>
      </w:pPr>
    </w:p>
    <w:p>
      <w:pPr>
        <w:spacing w:line="276" w:lineRule="auto"/>
        <w:rPr>
          <w:rFonts w:hint="eastAsia" w:eastAsia="楷体_GB2312"/>
          <w:sz w:val="44"/>
        </w:rPr>
      </w:pPr>
    </w:p>
    <w:p>
      <w:pPr>
        <w:spacing w:line="276" w:lineRule="auto"/>
        <w:ind w:firstLine="3080" w:firstLineChars="700"/>
        <w:rPr>
          <w:rFonts w:hint="eastAsia" w:eastAsia="楷体_GB2312"/>
          <w:sz w:val="44"/>
        </w:rPr>
      </w:pPr>
    </w:p>
    <w:p>
      <w:pPr>
        <w:spacing w:line="276" w:lineRule="auto"/>
        <w:ind w:firstLine="3080" w:firstLineChars="700"/>
        <w:rPr>
          <w:rFonts w:hint="eastAsia" w:eastAsia="楷体_GB2312"/>
          <w:sz w:val="44"/>
        </w:rPr>
      </w:pPr>
    </w:p>
    <w:p>
      <w:pPr>
        <w:spacing w:line="276" w:lineRule="auto"/>
        <w:jc w:val="center"/>
        <w:rPr>
          <w:sz w:val="32"/>
        </w:rPr>
      </w:pPr>
      <w:r>
        <w:rPr>
          <w:rFonts w:hint="eastAsia" w:eastAsia="楷体_GB2312"/>
          <w:sz w:val="32"/>
        </w:rPr>
        <w:t xml:space="preserve">  二O二零年</w:t>
      </w:r>
      <w:r>
        <w:rPr>
          <w:rFonts w:hint="eastAsia" w:eastAsia="楷体_GB2312"/>
          <w:sz w:val="32"/>
          <w:lang w:eastAsia="zh-CN"/>
        </w:rPr>
        <w:t>五</w:t>
      </w:r>
      <w:r>
        <w:rPr>
          <w:rFonts w:hint="eastAsia" w:eastAsia="楷体_GB2312"/>
          <w:sz w:val="32"/>
        </w:rPr>
        <w:t>月</w:t>
      </w:r>
    </w:p>
    <w:p>
      <w:pPr>
        <w:spacing w:line="276" w:lineRule="auto"/>
        <w:rPr>
          <w:rFonts w:ascii="宋体" w:hAnsi="宋体"/>
          <w:sz w:val="28"/>
        </w:rPr>
      </w:pPr>
    </w:p>
    <w:p>
      <w:pPr>
        <w:jc w:val="center"/>
        <w:rPr>
          <w:rFonts w:hint="eastAsia"/>
          <w:b/>
          <w:sz w:val="36"/>
          <w:szCs w:val="36"/>
        </w:rPr>
      </w:pPr>
      <w:bookmarkStart w:id="0" w:name="_GoBack"/>
      <w:bookmarkEnd w:id="0"/>
    </w:p>
    <w:p>
      <w:pPr>
        <w:jc w:val="center"/>
        <w:rPr>
          <w:rFonts w:hint="eastAsia" w:eastAsia="宋体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</w:rPr>
        <w:t>12T箕斗技术协议</w:t>
      </w:r>
      <w:r>
        <w:rPr>
          <w:rFonts w:hint="eastAsia"/>
          <w:b/>
          <w:sz w:val="36"/>
          <w:szCs w:val="36"/>
          <w:lang w:eastAsia="zh-CN"/>
        </w:rPr>
        <w:t>规格书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spacing w:line="520" w:lineRule="exact"/>
        <w:ind w:firstLine="420" w:firstLine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一、主要技术要求：</w:t>
      </w:r>
    </w:p>
    <w:p>
      <w:pPr>
        <w:spacing w:line="520" w:lineRule="exact"/>
        <w:ind w:left="841" w:leftChars="267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1、箕斗型号：JDG</w:t>
      </w:r>
      <w:r>
        <w:rPr>
          <w:rFonts w:hint="eastAsia"/>
          <w:sz w:val="28"/>
          <w:szCs w:val="28"/>
          <w:lang w:val="en-US" w:eastAsia="zh-CN"/>
        </w:rPr>
        <w:t>-</w:t>
      </w:r>
      <w:r>
        <w:rPr>
          <w:rFonts w:hint="eastAsia"/>
          <w:sz w:val="28"/>
          <w:szCs w:val="28"/>
        </w:rPr>
        <w:t>12曲轨自动卸载扇形闸门上开式箕斗，加工数量1台。</w:t>
      </w:r>
    </w:p>
    <w:p>
      <w:pPr>
        <w:spacing w:line="520" w:lineRule="exact"/>
        <w:ind w:left="841" w:leftChars="267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2、箕斗的重量、外形尺寸与罐道间的相关尺寸</w:t>
      </w:r>
      <w:r>
        <w:rPr>
          <w:rFonts w:hint="eastAsia"/>
          <w:color w:val="auto"/>
          <w:sz w:val="28"/>
          <w:szCs w:val="28"/>
          <w:lang w:eastAsia="zh-CN"/>
        </w:rPr>
        <w:t>由厂家到现场测量，且需</w:t>
      </w:r>
      <w:r>
        <w:rPr>
          <w:rFonts w:hint="eastAsia"/>
          <w:sz w:val="28"/>
          <w:szCs w:val="28"/>
          <w:lang w:eastAsia="zh-CN"/>
        </w:rPr>
        <w:t>厂家</w:t>
      </w:r>
      <w:r>
        <w:rPr>
          <w:rFonts w:hint="eastAsia"/>
          <w:sz w:val="28"/>
          <w:szCs w:val="28"/>
        </w:rPr>
        <w:t>提供图纸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外形</w:t>
      </w:r>
      <w:r>
        <w:rPr>
          <w:rFonts w:hint="eastAsia"/>
          <w:sz w:val="28"/>
          <w:szCs w:val="28"/>
          <w:lang w:eastAsia="zh-CN"/>
        </w:rPr>
        <w:t>尺寸与原尺寸一致，矿方审核，方可加工</w:t>
      </w:r>
      <w:r>
        <w:rPr>
          <w:rFonts w:hint="eastAsia"/>
          <w:sz w:val="28"/>
          <w:szCs w:val="28"/>
        </w:rPr>
        <w:t>。</w:t>
      </w:r>
    </w:p>
    <w:p>
      <w:pPr>
        <w:spacing w:line="520" w:lineRule="exact"/>
        <w:ind w:left="841" w:leftChars="267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3、首绳悬挂装置的联接方式为主吊板直联结构，连接尺寸保证与在用箕斗配套，具有互换性。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4、箕斗主梁</w:t>
      </w:r>
      <w:r>
        <w:rPr>
          <w:rFonts w:hint="eastAsia"/>
          <w:sz w:val="28"/>
          <w:szCs w:val="28"/>
          <w:lang w:val="en-US" w:eastAsia="zh-CN"/>
        </w:rPr>
        <w:t xml:space="preserve"> 、框架</w:t>
      </w:r>
      <w:r>
        <w:rPr>
          <w:rFonts w:hint="eastAsia"/>
          <w:sz w:val="28"/>
          <w:szCs w:val="28"/>
        </w:rPr>
        <w:t>等均采用型钢外，斗箱、闸门均采用16Mn钢材。</w:t>
      </w:r>
    </w:p>
    <w:p>
      <w:pPr>
        <w:spacing w:line="520" w:lineRule="exact"/>
        <w:ind w:left="701" w:leftChars="267" w:hanging="140" w:hangingChars="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5、原箕斗设有配重框，新箕斗将配重框取消，配重框重量包含进箕斗本体内，总重量不变，箕斗总重1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吨。</w:t>
      </w:r>
    </w:p>
    <w:p>
      <w:pPr>
        <w:spacing w:line="520" w:lineRule="exact"/>
        <w:ind w:left="701" w:leftChars="267" w:hanging="140" w:hangingChars="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6、箕斗上侧带有乘人间（活动翻板）。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7</w:t>
      </w:r>
      <w:r>
        <w:rPr>
          <w:rFonts w:hint="eastAsia"/>
          <w:sz w:val="28"/>
          <w:szCs w:val="28"/>
        </w:rPr>
        <w:t>、箕斗加工好后，表面采用喷砂除锈后凃富锌底漆，外涂黑聚酯漆。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8</w:t>
      </w:r>
      <w:r>
        <w:rPr>
          <w:rFonts w:hint="eastAsia"/>
          <w:sz w:val="28"/>
          <w:szCs w:val="28"/>
        </w:rPr>
        <w:t>、新箕斗在加工好后须进行平衡试验，并有试验报告。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9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厂家</w:t>
      </w:r>
      <w:r>
        <w:rPr>
          <w:rFonts w:hint="eastAsia"/>
          <w:sz w:val="28"/>
          <w:szCs w:val="28"/>
        </w:rPr>
        <w:t>免费指导设备的安装、调试。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10</w:t>
      </w:r>
      <w:r>
        <w:rPr>
          <w:rFonts w:hint="eastAsia"/>
          <w:sz w:val="28"/>
          <w:szCs w:val="28"/>
        </w:rPr>
        <w:t>、箕斗本体上固定滚轮罐耳处的钢板厚度不低于12mm。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eastAsia="zh-CN"/>
        </w:rPr>
        <w:t>1</w:t>
      </w:r>
      <w:r>
        <w:rPr>
          <w:rFonts w:hint="eastAsia"/>
          <w:sz w:val="28"/>
          <w:szCs w:val="28"/>
        </w:rPr>
        <w:t>、加工后的箕斗总重量与原箕斗总重量误差不大于3%。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eastAsia="zh-CN"/>
        </w:rPr>
        <w:t>2</w:t>
      </w:r>
      <w:r>
        <w:rPr>
          <w:rFonts w:hint="eastAsia"/>
          <w:sz w:val="28"/>
          <w:szCs w:val="28"/>
        </w:rPr>
        <w:t>、滚动罐耳底座由厂方提供，加工尺寸按用户要求。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eastAsia="zh-CN"/>
        </w:rPr>
        <w:t>3</w:t>
      </w:r>
      <w:r>
        <w:rPr>
          <w:rFonts w:hint="eastAsia"/>
          <w:sz w:val="28"/>
          <w:szCs w:val="28"/>
        </w:rPr>
        <w:t>、箕斗下部滚轮罐耳</w:t>
      </w:r>
      <w:r>
        <w:rPr>
          <w:rFonts w:hint="eastAsia"/>
          <w:sz w:val="28"/>
          <w:szCs w:val="28"/>
          <w:lang w:eastAsia="zh-CN"/>
        </w:rPr>
        <w:t>加装检修平台，便于安装罐耳及检修罐耳</w:t>
      </w:r>
      <w:r>
        <w:rPr>
          <w:rFonts w:hint="eastAsia"/>
          <w:sz w:val="28"/>
          <w:szCs w:val="28"/>
        </w:rPr>
        <w:t>。</w:t>
      </w:r>
    </w:p>
    <w:p>
      <w:pPr>
        <w:spacing w:line="520" w:lineRule="exact"/>
        <w:ind w:firstLine="565" w:firstLineChars="202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</w:rPr>
        <w:t>、提升钢丝绳为：绳径</w:t>
      </w:r>
      <w:r>
        <w:rPr>
          <w:rFonts w:hint="eastAsia"/>
          <w:sz w:val="30"/>
          <w:szCs w:val="30"/>
        </w:rPr>
        <w:t>φ</w:t>
      </w:r>
      <w:r>
        <w:rPr>
          <w:rFonts w:hint="eastAsia"/>
          <w:sz w:val="30"/>
          <w:szCs w:val="30"/>
          <w:lang w:val="en-US" w:eastAsia="zh-CN"/>
        </w:rPr>
        <w:t>36</w:t>
      </w:r>
      <w:r>
        <w:rPr>
          <w:rFonts w:hint="eastAsia"/>
          <w:sz w:val="28"/>
          <w:szCs w:val="28"/>
        </w:rPr>
        <w:t xml:space="preserve">  mm</w:t>
      </w:r>
    </w:p>
    <w:p>
      <w:pPr>
        <w:spacing w:line="520" w:lineRule="exact"/>
        <w:ind w:firstLine="1120" w:firstLineChars="4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平衡尾绳为：绳径</w:t>
      </w:r>
      <w:r>
        <w:rPr>
          <w:rFonts w:hint="eastAsia"/>
          <w:sz w:val="30"/>
          <w:szCs w:val="30"/>
        </w:rPr>
        <w:t>φ</w:t>
      </w:r>
      <w:r>
        <w:rPr>
          <w:rFonts w:hint="eastAsia"/>
          <w:sz w:val="30"/>
          <w:szCs w:val="30"/>
          <w:lang w:val="en-US" w:eastAsia="zh-CN"/>
        </w:rPr>
        <w:t>42、</w:t>
      </w:r>
      <w:r>
        <w:rPr>
          <w:rFonts w:hint="eastAsia"/>
          <w:sz w:val="30"/>
          <w:szCs w:val="30"/>
        </w:rPr>
        <w:t>φ</w:t>
      </w:r>
      <w:r>
        <w:rPr>
          <w:rFonts w:hint="eastAsia"/>
          <w:sz w:val="30"/>
          <w:szCs w:val="30"/>
          <w:lang w:val="en-US" w:eastAsia="zh-CN"/>
        </w:rPr>
        <w:t>44</w:t>
      </w:r>
      <w:r>
        <w:rPr>
          <w:rFonts w:hint="eastAsia"/>
          <w:sz w:val="28"/>
          <w:szCs w:val="28"/>
        </w:rPr>
        <w:t xml:space="preserve"> mm </w:t>
      </w:r>
    </w:p>
    <w:p>
      <w:pPr>
        <w:spacing w:line="52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二、供货范围：</w:t>
      </w:r>
    </w:p>
    <w:p>
      <w:pPr>
        <w:spacing w:line="520" w:lineRule="exact"/>
        <w:ind w:firstLine="700" w:firstLineChars="250"/>
        <w:rPr>
          <w:rFonts w:hint="eastAsia"/>
          <w:sz w:val="28"/>
          <w:szCs w:val="28"/>
        </w:rPr>
      </w:pPr>
      <w:r>
        <w:rPr>
          <w:sz w:val="28"/>
          <w:szCs w:val="28"/>
        </w:rPr>
        <w:t>(1)箕斗本体</w:t>
      </w:r>
      <w:r>
        <w:rPr>
          <w:rFonts w:hint="eastAsia"/>
          <w:sz w:val="28"/>
          <w:szCs w:val="28"/>
        </w:rPr>
        <w:t xml:space="preserve">   JDG12      1</w:t>
      </w:r>
      <w:r>
        <w:rPr>
          <w:sz w:val="28"/>
          <w:szCs w:val="28"/>
        </w:rPr>
        <w:t>台</w:t>
      </w:r>
    </w:p>
    <w:p>
      <w:pPr>
        <w:spacing w:line="520" w:lineRule="exact"/>
        <w:ind w:firstLine="700" w:firstLineChars="250"/>
        <w:rPr>
          <w:rFonts w:hint="eastAsia"/>
          <w:sz w:val="28"/>
          <w:szCs w:val="28"/>
        </w:rPr>
      </w:pP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滚轮罐耳    L30       12只</w:t>
      </w:r>
    </w:p>
    <w:p>
      <w:pPr>
        <w:spacing w:line="520" w:lineRule="exact"/>
        <w:ind w:firstLine="700" w:firstLineChars="25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(3)</w:t>
      </w:r>
      <w:r>
        <w:rPr>
          <w:rFonts w:hint="eastAsia"/>
          <w:sz w:val="28"/>
          <w:szCs w:val="28"/>
          <w:lang w:eastAsia="zh-CN"/>
        </w:rPr>
        <w:t>尾绳悬挂装置：</w:t>
      </w:r>
      <w:r>
        <w:rPr>
          <w:rFonts w:hint="eastAsia"/>
          <w:sz w:val="28"/>
          <w:szCs w:val="28"/>
          <w:lang w:val="en-US" w:eastAsia="zh-CN"/>
        </w:rPr>
        <w:t>WY110  3根</w:t>
      </w:r>
    </w:p>
    <w:p>
      <w:pPr>
        <w:spacing w:line="520" w:lineRule="exact"/>
        <w:ind w:firstLine="700" w:firstLineChars="25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(4)快速卡绳器    KSQ-36mm  4个</w:t>
      </w:r>
    </w:p>
    <w:p>
      <w:pPr>
        <w:spacing w:line="52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三、出厂随机附件：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1、箕斗总图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2、产品合格证、平衡试验报告、煤安标志</w:t>
      </w:r>
    </w:p>
    <w:p>
      <w:pPr>
        <w:spacing w:line="520" w:lineRule="exact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3、发货清单</w:t>
      </w:r>
    </w:p>
    <w:p>
      <w:pPr>
        <w:spacing w:line="52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四、其它：</w:t>
      </w:r>
    </w:p>
    <w:p>
      <w:pPr>
        <w:spacing w:line="520" w:lineRule="exact"/>
        <w:ind w:firstLine="420" w:firstLine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、交货时间：2020年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月30日</w:t>
      </w:r>
    </w:p>
    <w:p>
      <w:pPr>
        <w:spacing w:line="520" w:lineRule="exact"/>
        <w:ind w:firstLine="420" w:firstLineChars="150"/>
        <w:rPr>
          <w:rFonts w:hint="eastAsia"/>
          <w:sz w:val="28"/>
          <w:szCs w:val="28"/>
        </w:rPr>
      </w:pPr>
    </w:p>
    <w:p>
      <w:pPr>
        <w:spacing w:line="520" w:lineRule="exact"/>
        <w:ind w:firstLine="420" w:firstLineChars="150"/>
        <w:rPr>
          <w:rFonts w:hint="eastAsia"/>
          <w:sz w:val="28"/>
          <w:szCs w:val="28"/>
        </w:rPr>
      </w:pPr>
    </w:p>
    <w:p>
      <w:pPr>
        <w:ind w:firstLine="420" w:firstLineChars="150"/>
        <w:rPr>
          <w:rFonts w:hint="eastAsia"/>
          <w:sz w:val="28"/>
          <w:szCs w:val="28"/>
        </w:rPr>
      </w:pPr>
    </w:p>
    <w:p>
      <w:pPr>
        <w:ind w:firstLine="420" w:firstLineChars="150"/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ind w:firstLine="5453" w:firstLineChars="194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日期：2020年</w:t>
      </w:r>
      <w:r>
        <w:rPr>
          <w:rFonts w:hint="eastAsia"/>
          <w:b/>
          <w:sz w:val="28"/>
          <w:szCs w:val="28"/>
          <w:lang w:val="en-US" w:eastAsia="zh-CN"/>
        </w:rPr>
        <w:t>5</w:t>
      </w:r>
      <w:r>
        <w:rPr>
          <w:rFonts w:hint="eastAsia"/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  <w:lang w:val="en-US" w:eastAsia="zh-CN"/>
        </w:rPr>
        <w:t>18</w:t>
      </w:r>
      <w:r>
        <w:rPr>
          <w:rFonts w:hint="eastAsia"/>
          <w:b/>
          <w:sz w:val="28"/>
          <w:szCs w:val="28"/>
        </w:rPr>
        <w:t>日</w:t>
      </w:r>
    </w:p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48B5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iPriority w:val="0"/>
  </w:style>
  <w:style w:type="table" w:default="1" w:styleId="4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560</Words>
  <Characters>621</Characters>
  <Paragraphs>45</Paragraphs>
  <TotalTime>0</TotalTime>
  <ScaleCrop>false</ScaleCrop>
  <LinksUpToDate>false</LinksUpToDate>
  <CharactersWithSpaces>656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2020-03-26T05:49:00Z</dcterms:created>
  <dc:creator>微软用户</dc:creator>
  <cp:lastModifiedBy>Administrator</cp:lastModifiedBy>
  <cp:lastPrinted>2016-07-27T00:06:00Z</cp:lastPrinted>
  <dcterms:modified xsi:type="dcterms:W3CDTF">2020-05-20T04:44:57Z</dcterms:modified>
  <dc:title>淮北矿业集团公司邹庄煤矿24T箕斗技术协议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