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07"/>
        <w:tblW w:w="9897" w:type="dxa"/>
        <w:tblInd w:w="4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601"/>
        <w:gridCol w:w="5296"/>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3" w:hRule="atLeast"/>
        </w:trPr>
        <w:tc>
          <w:tcPr>
            <w:tcW w:w="9897" w:type="dxa"/>
            <w:gridSpan w:val="2"/>
            <w:vAlign w:val="center"/>
          </w:tcPr>
          <w:p>
            <w:pPr>
              <w:keepNext w:val="0"/>
              <w:keepLines w:val="0"/>
              <w:pageBreakBefore w:val="0"/>
              <w:widowControl w:val="0"/>
              <w:kinsoku w:val="0"/>
              <w:wordWrap w:val="0"/>
              <w:overflowPunct/>
              <w:topLinePunct w:val="0"/>
              <w:autoSpaceDE w:val="0"/>
              <w:autoSpaceDN w:val="0"/>
              <w:bidi w:val="0"/>
              <w:adjustRightInd w:val="0"/>
              <w:snapToGrid w:val="0"/>
              <w:spacing w:before="78" w:line="340" w:lineRule="exact"/>
              <w:jc w:val="right"/>
              <w:textAlignment w:val="baseline"/>
              <w:rPr>
                <w:rFonts w:hint="default" w:asciiTheme="minorEastAsia" w:hAnsiTheme="minorEastAsia" w:eastAsiaTheme="minorEastAsia" w:cstheme="minorEastAsia"/>
                <w:snapToGrid w:val="0"/>
                <w:color w:val="000000" w:themeColor="text1"/>
                <w:spacing w:val="2"/>
                <w:kern w:val="0"/>
                <w:sz w:val="21"/>
                <w:szCs w:val="21"/>
                <w:highlight w:val="none"/>
                <w:lang w:val="en-US" w:eastAsia="zh-CN" w:bidi="ar-SA"/>
                <w14:textFill>
                  <w14:solidFill>
                    <w14:schemeClr w14:val="tx1"/>
                  </w14:solidFill>
                </w14:textFill>
              </w:rPr>
            </w:pPr>
            <w:r>
              <w:rPr>
                <w:rFonts w:hint="eastAsia" w:asciiTheme="minorEastAsia" w:hAnsiTheme="minorEastAsia" w:cstheme="minorEastAsia"/>
                <w:snapToGrid w:val="0"/>
                <w:color w:val="000000" w:themeColor="text1"/>
                <w:spacing w:val="2"/>
                <w:kern w:val="0"/>
                <w:sz w:val="21"/>
                <w:szCs w:val="21"/>
                <w:highlight w:val="none"/>
                <w:lang w:val="en-US" w:eastAsia="zh-CN" w:bidi="ar-SA"/>
                <w14:textFill>
                  <w14:solidFill>
                    <w14:schemeClr w14:val="tx1"/>
                  </w14:solidFill>
                </w14:textFill>
              </w:rPr>
              <w:t>协议</w:t>
            </w:r>
            <w:r>
              <w:rPr>
                <w:rFonts w:hint="eastAsia" w:asciiTheme="minorEastAsia" w:hAnsiTheme="minorEastAsia" w:eastAsiaTheme="minorEastAsia" w:cstheme="minorEastAsia"/>
                <w:snapToGrid w:val="0"/>
                <w:color w:val="000000" w:themeColor="text1"/>
                <w:spacing w:val="2"/>
                <w:kern w:val="0"/>
                <w:sz w:val="21"/>
                <w:szCs w:val="21"/>
                <w:highlight w:val="none"/>
                <w:lang w:val="en-US" w:eastAsia="en-US" w:bidi="ar-SA"/>
                <w14:textFill>
                  <w14:solidFill>
                    <w14:schemeClr w14:val="tx1"/>
                  </w14:solidFill>
                </w14:textFill>
              </w:rPr>
              <w:t>编号：</w:t>
            </w:r>
            <w:r>
              <w:rPr>
                <w:rFonts w:hint="eastAsia" w:asciiTheme="minorEastAsia" w:hAnsiTheme="minorEastAsia" w:cstheme="minorEastAsia"/>
                <w:snapToGrid w:val="0"/>
                <w:color w:val="000000" w:themeColor="text1"/>
                <w:spacing w:val="2"/>
                <w:kern w:val="0"/>
                <w:sz w:val="21"/>
                <w:szCs w:val="21"/>
                <w:highlight w:val="none"/>
                <w:u w:val="single"/>
                <w:lang w:val="en-US" w:eastAsia="zh-CN" w:bidi="ar-SA"/>
                <w14:textFill>
                  <w14:solidFill>
                    <w14:schemeClr w14:val="tx1"/>
                  </w14:solidFill>
                </w14:textFill>
              </w:rPr>
              <w:t xml:space="preserve">              </w:t>
            </w:r>
            <w:r>
              <w:rPr>
                <w:rFonts w:hint="eastAsia" w:asciiTheme="minorEastAsia" w:hAnsiTheme="minorEastAsia" w:cstheme="minorEastAsia"/>
                <w:snapToGrid w:val="0"/>
                <w:color w:val="000000" w:themeColor="text1"/>
                <w:spacing w:val="2"/>
                <w:kern w:val="0"/>
                <w:sz w:val="21"/>
                <w:szCs w:val="21"/>
                <w:highlight w:val="none"/>
                <w:u w:val="none"/>
                <w:lang w:val="en-US" w:eastAsia="zh-CN" w:bidi="ar-SA"/>
                <w14:textFill>
                  <w14:solidFill>
                    <w14:schemeClr w14:val="tx1"/>
                  </w14:solidFill>
                </w14:textFill>
              </w:rPr>
              <w:t xml:space="preserve">   </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68" w:hRule="atLeast"/>
        </w:trPr>
        <w:tc>
          <w:tcPr>
            <w:tcW w:w="9897" w:type="dxa"/>
            <w:gridSpan w:val="2"/>
            <w:vAlign w:val="center"/>
          </w:tcPr>
          <w:p>
            <w:pPr>
              <w:keepNext w:val="0"/>
              <w:keepLines w:val="0"/>
              <w:pageBreakBefore w:val="0"/>
              <w:widowControl w:val="0"/>
              <w:kinsoku w:val="0"/>
              <w:wordWrap/>
              <w:overflowPunct/>
              <w:topLinePunct w:val="0"/>
              <w:autoSpaceDE w:val="0"/>
              <w:autoSpaceDN w:val="0"/>
              <w:bidi w:val="0"/>
              <w:adjustRightInd w:val="0"/>
              <w:snapToGrid w:val="0"/>
              <w:spacing w:before="78" w:line="340" w:lineRule="exact"/>
              <w:jc w:val="center"/>
              <w:textAlignment w:val="baseline"/>
              <w:rPr>
                <w:rFonts w:hint="default" w:ascii="Times New Roman" w:hAnsi="Times New Roman" w:eastAsia="微软雅黑" w:cs="Times New Roman"/>
                <w:b/>
                <w:bCs/>
                <w:snapToGrid w:val="0"/>
                <w:color w:val="000000" w:themeColor="text1"/>
                <w:kern w:val="0"/>
                <w:sz w:val="22"/>
                <w:szCs w:val="22"/>
                <w:highlight w:val="none"/>
                <w:lang w:val="en-US" w:eastAsia="zh-CN" w:bidi="ar-SA"/>
                <w14:textFill>
                  <w14:solidFill>
                    <w14:schemeClr w14:val="tx1"/>
                  </w14:solidFill>
                </w14:textFill>
              </w:rPr>
            </w:pPr>
            <w:r>
              <w:rPr>
                <w:rFonts w:ascii="微软雅黑" w:hAnsi="微软雅黑" w:eastAsia="微软雅黑" w:cs="微软雅黑"/>
                <w:snapToGrid w:val="0"/>
                <w:color w:val="000000" w:themeColor="text1"/>
                <w:spacing w:val="-8"/>
                <w:kern w:val="0"/>
                <w:sz w:val="36"/>
                <w:szCs w:val="36"/>
                <w:highlight w:val="none"/>
                <w:lang w:val="en-US" w:eastAsia="en-US" w:bidi="ar-SA"/>
                <w14:textFill>
                  <w14:solidFill>
                    <w14:schemeClr w14:val="tx1"/>
                  </w14:solidFill>
                </w14:textFill>
              </w:rPr>
              <w:t>工业品买卖</w:t>
            </w:r>
            <w:r>
              <w:rPr>
                <w:rFonts w:hint="eastAsia" w:ascii="微软雅黑" w:hAnsi="微软雅黑" w:eastAsia="微软雅黑" w:cs="微软雅黑"/>
                <w:snapToGrid w:val="0"/>
                <w:color w:val="000000" w:themeColor="text1"/>
                <w:spacing w:val="-8"/>
                <w:kern w:val="0"/>
                <w:sz w:val="36"/>
                <w:szCs w:val="36"/>
                <w:highlight w:val="none"/>
                <w:lang w:val="en-US" w:eastAsia="zh-CN" w:bidi="ar-SA"/>
                <w14:textFill>
                  <w14:solidFill>
                    <w14:schemeClr w14:val="tx1"/>
                  </w14:solidFill>
                </w14:textFill>
              </w:rPr>
              <w:t>框架（代储）协议</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3" w:hRule="atLeast"/>
        </w:trPr>
        <w:tc>
          <w:tcPr>
            <w:tcW w:w="4601"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78" w:line="340" w:lineRule="exact"/>
              <w:ind w:left="8"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sz w:val="21"/>
                <w:szCs w:val="21"/>
                <w:highlight w:val="none"/>
                <w:lang w:val="en-US" w:eastAsia="en-US" w:bidi="ar-SA"/>
                <w14:textFill>
                  <w14:solidFill>
                    <w14:schemeClr w14:val="tx1"/>
                  </w14:solidFill>
                </w14:textFill>
              </w:rPr>
              <w:t>甲方（买受人）：</w:t>
            </w:r>
          </w:p>
        </w:tc>
        <w:tc>
          <w:tcPr>
            <w:tcW w:w="5296"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78" w:line="340" w:lineRule="exact"/>
              <w:ind w:firstLine="428"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2"/>
                <w:kern w:val="0"/>
                <w:sz w:val="21"/>
                <w:szCs w:val="21"/>
                <w:highlight w:val="none"/>
                <w:lang w:val="en-US" w:eastAsia="en-US" w:bidi="ar-SA"/>
                <w14:textFill>
                  <w14:solidFill>
                    <w14:schemeClr w14:val="tx1"/>
                  </w14:solidFill>
                </w14:textFill>
              </w:rPr>
              <w:t>审核编号：</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5" w:hRule="atLeast"/>
        </w:trPr>
        <w:tc>
          <w:tcPr>
            <w:tcW w:w="4601"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58" w:line="340" w:lineRule="exact"/>
              <w:ind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position w:val="-1"/>
                <w:sz w:val="21"/>
                <w:szCs w:val="21"/>
                <w:highlight w:val="none"/>
                <w:lang w:val="en-US" w:eastAsia="en-US" w:bidi="ar-SA"/>
                <w14:textFill>
                  <w14:solidFill>
                    <w14:schemeClr w14:val="tx1"/>
                  </w14:solidFill>
                </w14:textFill>
              </w:rPr>
              <w:t>乙方（出卖人）：</w:t>
            </w:r>
          </w:p>
        </w:tc>
        <w:tc>
          <w:tcPr>
            <w:tcW w:w="5296"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58" w:line="340" w:lineRule="exact"/>
              <w:ind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position w:val="-1"/>
                <w:sz w:val="21"/>
                <w:szCs w:val="21"/>
                <w:highlight w:val="none"/>
                <w:lang w:val="en-US" w:eastAsia="en-US" w:bidi="ar-SA"/>
                <w14:textFill>
                  <w14:solidFill>
                    <w14:schemeClr w14:val="tx1"/>
                  </w14:solidFill>
                </w14:textFill>
              </w:rPr>
              <w:t>签订地点：</w:t>
            </w:r>
            <w:r>
              <w:rPr>
                <w:rFonts w:hint="eastAsia" w:asciiTheme="minorEastAsia" w:hAnsiTheme="minorEastAsia" w:cstheme="minorEastAsia"/>
                <w:snapToGrid w:val="0"/>
                <w:color w:val="000000" w:themeColor="text1"/>
                <w:spacing w:val="5"/>
                <w:kern w:val="0"/>
                <w:position w:val="-1"/>
                <w:sz w:val="21"/>
                <w:szCs w:val="21"/>
                <w:highlight w:val="none"/>
                <w:u w:val="single"/>
                <w:lang w:val="en-US" w:eastAsia="zh-CN" w:bidi="ar-SA"/>
                <w14:textFill>
                  <w14:solidFill>
                    <w14:schemeClr w14:val="tx1"/>
                  </w14:solidFill>
                </w14:textFill>
              </w:rPr>
              <w:t>安徽省</w:t>
            </w:r>
            <w:r>
              <w:rPr>
                <w:rFonts w:hint="eastAsia" w:asciiTheme="minorEastAsia" w:hAnsiTheme="minorEastAsia" w:eastAsiaTheme="minorEastAsia" w:cstheme="minorEastAsia"/>
                <w:snapToGrid w:val="0"/>
                <w:color w:val="000000" w:themeColor="text1"/>
                <w:spacing w:val="5"/>
                <w:kern w:val="0"/>
                <w:position w:val="-1"/>
                <w:sz w:val="21"/>
                <w:szCs w:val="21"/>
                <w:highlight w:val="none"/>
                <w:u w:val="single"/>
                <w:lang w:val="en-US" w:eastAsia="en-US" w:bidi="ar-SA"/>
                <w14:textFill>
                  <w14:solidFill>
                    <w14:schemeClr w14:val="tx1"/>
                  </w14:solidFill>
                </w14:textFill>
              </w:rPr>
              <w:t>淮北市相山区</w:t>
            </w:r>
          </w:p>
        </w:tc>
      </w:tr>
    </w:tbl>
    <w:p>
      <w:pPr>
        <w:keepNext w:val="0"/>
        <w:keepLines w:val="0"/>
        <w:pageBreakBefore w:val="0"/>
        <w:widowControl w:val="0"/>
        <w:kinsoku/>
        <w:wordWrap/>
        <w:overflowPunct/>
        <w:topLinePunct w:val="0"/>
        <w:autoSpaceDE/>
        <w:autoSpaceDN/>
        <w:bidi w:val="0"/>
        <w:adjustRightInd/>
        <w:snapToGrid/>
        <w:spacing w:line="340" w:lineRule="exact"/>
        <w:ind w:firstLine="435"/>
        <w:textAlignment w:val="auto"/>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t>根据《</w:t>
      </w:r>
      <w:r>
        <w:rPr>
          <w:rFonts w:hint="eastAsia" w:ascii="宋体" w:hAnsi="宋体" w:eastAsia="宋体" w:cs="宋体"/>
          <w:color w:val="000000" w:themeColor="text1"/>
          <w:highlight w:val="none"/>
          <w:lang w:val="en-US" w:eastAsia="en-US"/>
          <w14:textFill>
            <w14:solidFill>
              <w14:schemeClr w14:val="tx1"/>
            </w14:solidFill>
          </w14:textFill>
        </w:rPr>
        <w:t>中华人民共和国</w:t>
      </w:r>
      <w:r>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t>民法典》及相关法律法规，甲乙双方本着平等自愿、诚实信用原则，经双方协商一致，订立</w:t>
      </w:r>
      <w:r>
        <w:rPr>
          <w:rFonts w:hint="eastAsia" w:asciiTheme="minorEastAsia" w:hAnsiTheme="minorEastAsia" w:cstheme="minorEastAsia"/>
          <w:snapToGrid w:val="0"/>
          <w:color w:val="000000" w:themeColor="text1"/>
          <w:spacing w:val="3"/>
          <w:kern w:val="0"/>
          <w:sz w:val="21"/>
          <w:szCs w:val="21"/>
          <w:highlight w:val="none"/>
          <w:lang w:val="en-US" w:eastAsia="zh-CN" w:bidi="ar-SA"/>
          <w14:textFill>
            <w14:solidFill>
              <w14:schemeClr w14:val="tx1"/>
            </w14:solidFill>
          </w14:textFill>
        </w:rPr>
        <w:t>本协议</w:t>
      </w:r>
      <w:r>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第一条 定义</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1.“框架协议”是甲乙双方签订的，设立双方在框架协议有效期内权利义务的协议，包括其所有附件及第二条第3条款协议组成部分。在协议期内，乙方按照协议约定和送货单（</w:t>
      </w:r>
      <w:r>
        <w:rPr>
          <w:rFonts w:hint="eastAsia" w:ascii="宋体" w:hAnsi="宋体" w:eastAsia="宋体" w:cs="宋体"/>
          <w:strike w:val="0"/>
          <w:dstrike w:val="0"/>
          <w:color w:val="auto"/>
          <w:highlight w:val="none"/>
          <w:lang w:val="en-US" w:eastAsia="zh-CN"/>
        </w:rPr>
        <w:t>代储补库单</w:t>
      </w:r>
      <w:r>
        <w:rPr>
          <w:rFonts w:hint="eastAsia" w:ascii="宋体" w:hAnsi="宋体" w:eastAsia="宋体" w:cs="宋体"/>
          <w:color w:val="000000" w:themeColor="text1"/>
          <w:highlight w:val="none"/>
          <w:lang w:eastAsia="zh-CN"/>
          <w14:textFill>
            <w14:solidFill>
              <w14:schemeClr w14:val="tx1"/>
            </w14:solidFill>
          </w14:textFill>
        </w:rPr>
        <w:t>）要求供货。</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2.“代储”系指甲乙双方依据本框架协议，乙方将《工业品买卖框架（代储）协议明细表》中确定的产品存放在甲方指定仓库，随用随取，领用后无质量异议、验收合格到达终端使用方仓库后</w:t>
      </w:r>
      <w:r>
        <w:rPr>
          <w:rFonts w:hint="eastAsia" w:ascii="宋体" w:hAnsi="宋体" w:eastAsia="宋体" w:cs="宋体"/>
          <w:color w:val="000000" w:themeColor="text1"/>
          <w:highlight w:val="none"/>
          <w:lang w:val="en-US" w:eastAsia="zh-CN"/>
          <w14:textFill>
            <w14:solidFill>
              <w14:schemeClr w14:val="tx1"/>
            </w14:solidFill>
          </w14:textFill>
        </w:rPr>
        <w:t>办理结算</w:t>
      </w:r>
      <w:r>
        <w:rPr>
          <w:rFonts w:hint="eastAsia" w:ascii="宋体" w:hAnsi="宋体" w:eastAsia="宋体" w:cs="宋体"/>
          <w:color w:val="000000" w:themeColor="text1"/>
          <w:highlight w:val="none"/>
          <w:lang w:eastAsia="zh-CN"/>
          <w14:textFill>
            <w14:solidFill>
              <w14:schemeClr w14:val="tx1"/>
            </w14:solidFill>
          </w14:textFill>
        </w:rPr>
        <w:t>。代储产品未领用前，其所有权依然归属乙方所有。</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3.“送货单”“</w:t>
      </w:r>
      <w:r>
        <w:rPr>
          <w:rFonts w:hint="eastAsia" w:ascii="宋体" w:hAnsi="宋体" w:eastAsia="宋体" w:cs="宋体"/>
          <w:strike w:val="0"/>
          <w:dstrike w:val="0"/>
          <w:color w:val="auto"/>
          <w:highlight w:val="none"/>
          <w:lang w:val="en-US" w:eastAsia="zh-CN"/>
        </w:rPr>
        <w:t>代储补库单”</w:t>
      </w:r>
      <w:r>
        <w:rPr>
          <w:rFonts w:hint="eastAsia" w:ascii="宋体" w:hAnsi="宋体" w:eastAsia="宋体" w:cs="宋体"/>
          <w:color w:val="000000" w:themeColor="text1"/>
          <w:highlight w:val="none"/>
          <w:lang w:eastAsia="zh-CN"/>
          <w14:textFill>
            <w14:solidFill>
              <w14:schemeClr w14:val="tx1"/>
            </w14:solidFill>
          </w14:textFill>
        </w:rPr>
        <w:t>是甲方明确采购内容、采购数量和其他细节要求的格式化文件。</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第二条 协议组成部分及解释顺序</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1本协议与下列文件一起构成合同文件：（1）中标（成交）通知书；（2）技术协议；（3）送货单；（4）投标文件（含澄清文件、承诺等）；（5）采购文件（含招标文件、澄清或者修改文件）；（6）协议和技术协议规定的其他相关文件。</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.2解释顺序：</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.1中协议组成部分互相补充和解释。当协议文件内容存在冲突时，以排列在先的文件为准。但双方在本协议及其附件中明确表示用以修改或取代先前文件内容的条款除外。</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.3双方在签订本协议后，就技术规范（规格型号、技术参数、检验标准、安装调试、</w:t>
      </w:r>
      <w:r>
        <w:rPr>
          <w:rFonts w:hint="eastAsia" w:ascii="宋体" w:hAnsi="宋体" w:eastAsia="宋体" w:cs="宋体"/>
          <w:color w:val="000000" w:themeColor="text1"/>
          <w:highlight w:val="none"/>
          <w:lang w:val="en-US" w:eastAsia="zh-CN"/>
          <w14:textFill>
            <w14:solidFill>
              <w14:schemeClr w14:val="tx1"/>
            </w14:solidFill>
          </w14:textFill>
        </w:rPr>
        <w:t>培训、服务</w:t>
      </w:r>
      <w:r>
        <w:rPr>
          <w:rFonts w:hint="eastAsia" w:ascii="宋体" w:hAnsi="宋体" w:eastAsia="宋体" w:cs="宋体"/>
          <w:color w:val="000000" w:themeColor="text1"/>
          <w:highlight w:val="none"/>
          <w:lang w:eastAsia="zh-CN"/>
          <w14:textFill>
            <w14:solidFill>
              <w14:schemeClr w14:val="tx1"/>
            </w14:solidFill>
          </w14:textFill>
        </w:rPr>
        <w:t>要求等）另行达成一致并签署的《技术协议》，自动作为本协议组成部分。</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.4所列协议组成部分并非协议成立、生效或履行的必备要件，各协议文件效力以其实际生成并经双方确认的文件为准。</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第三条 代储条款</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3.1是否代储：</w:t>
      </w:r>
      <w:r>
        <w:rPr>
          <w:rFonts w:hint="eastAsia" w:ascii="宋体" w:hAnsi="宋体" w:eastAsia="宋体" w:cs="宋体"/>
          <w:b w:val="0"/>
          <w:bCs w:val="0"/>
          <w:color w:val="000000" w:themeColor="text1"/>
          <w:highlight w:val="none"/>
          <w:lang w:eastAsia="zh-CN"/>
          <w14:textFill>
            <w14:solidFill>
              <w14:schemeClr w14:val="tx1"/>
            </w14:solidFill>
          </w14:textFill>
        </w:rPr>
        <w:t>是□否</w:t>
      </w:r>
      <w:r>
        <w:rPr>
          <w:rFonts w:hint="eastAsia" w:ascii="宋体" w:hAnsi="宋体" w:eastAsia="宋体" w:cs="宋体"/>
          <w:b w:val="0"/>
          <w:bCs w:val="0"/>
          <w:color w:val="000000" w:themeColor="text1"/>
          <w:highlight w:val="none"/>
          <w:lang w:eastAsia="zh-CN"/>
          <w14:textFill>
            <w14:solidFill>
              <w14:schemeClr w14:val="tx1"/>
            </w14:solidFill>
          </w14:textFill>
        </w:rPr>
        <w:sym w:font="Wingdings 2" w:char="0052"/>
      </w:r>
      <w:r>
        <w:rPr>
          <w:rFonts w:hint="eastAsia" w:ascii="宋体" w:hAnsi="宋体" w:eastAsia="宋体" w:cs="宋体"/>
          <w:b w:val="0"/>
          <w:bCs w:val="0"/>
          <w:color w:val="000000" w:themeColor="text1"/>
          <w:highlight w:val="none"/>
          <w:lang w:eastAsia="zh-CN"/>
          <w14:textFill>
            <w14:solidFill>
              <w14:schemeClr w14:val="tx1"/>
            </w14:solidFill>
          </w14:textFill>
        </w:rPr>
        <w:t>（选择代储方式的，本协议涉及代储部分对甲乙双方具有约束力；选择非代储方式的，本协议涉及代储部分条款甲乙双方不具有约束力）</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u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2若</w:t>
      </w:r>
      <w:r>
        <w:rPr>
          <w:rFonts w:hint="eastAsia" w:ascii="宋体" w:hAnsi="宋体" w:eastAsia="宋体" w:cs="宋体"/>
          <w:color w:val="000000" w:themeColor="text1"/>
          <w:highlight w:val="none"/>
          <w:lang w:eastAsia="zh-CN"/>
          <w14:textFill>
            <w14:solidFill>
              <w14:schemeClr w14:val="tx1"/>
            </w14:solidFill>
          </w14:textFill>
        </w:rPr>
        <w:t>甲乙双方为产品代储关系，乙方将本协议</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lang w:eastAsia="zh-CN"/>
          <w14:textFill>
            <w14:solidFill>
              <w14:schemeClr w14:val="tx1"/>
            </w14:solidFill>
          </w14:textFill>
        </w:rPr>
        <w:t>.1条列明产品存放在甲方指定代储地点：</w:t>
      </w:r>
      <w:r>
        <w:rPr>
          <w:rFonts w:hint="eastAsia" w:ascii="宋体" w:hAnsi="宋体" w:eastAsia="宋体" w:cs="宋体"/>
          <w:color w:val="000000" w:themeColor="text1"/>
          <w:highlight w:val="yellow"/>
          <w:u w:val="single"/>
          <w:lang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w:t>
      </w:r>
      <w:r>
        <w:rPr>
          <w:rFonts w:hint="eastAsia" w:ascii="宋体" w:hAnsi="宋体" w:eastAsia="宋体" w:cs="宋体"/>
          <w:color w:val="000000" w:themeColor="text1"/>
          <w:highlight w:val="yellow"/>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none"/>
          <w:lang w:eastAsia="zh-CN"/>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甲方向乙方收取代储费用的依据和方式：甲方按物资</w:t>
      </w:r>
      <w:r>
        <w:rPr>
          <w:rFonts w:hint="eastAsia" w:ascii="宋体" w:hAnsi="宋体" w:eastAsia="宋体" w:cs="宋体"/>
          <w:color w:val="000000" w:themeColor="text1"/>
          <w:highlight w:val="none"/>
          <w:lang w:val="en-US" w:eastAsia="zh-CN"/>
          <w14:textFill>
            <w14:solidFill>
              <w14:schemeClr w14:val="tx1"/>
            </w14:solidFill>
          </w14:textFill>
        </w:rPr>
        <w:t>占用仓储面积、</w:t>
      </w:r>
      <w:r>
        <w:rPr>
          <w:rFonts w:hint="eastAsia" w:ascii="宋体" w:hAnsi="宋体" w:eastAsia="宋体" w:cs="宋体"/>
          <w:color w:val="000000" w:themeColor="text1"/>
          <w:highlight w:val="none"/>
          <w:lang w:eastAsia="zh-CN"/>
          <w14:textFill>
            <w14:solidFill>
              <w14:schemeClr w14:val="tx1"/>
            </w14:solidFill>
          </w14:textFill>
        </w:rPr>
        <w:t>发放金额和保管保养要求,确定代储劳务费收费标准。经双方协商收取代储费用：</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3.3</w:t>
      </w:r>
      <w:r>
        <w:rPr>
          <w:rFonts w:hint="eastAsia" w:ascii="宋体" w:hAnsi="宋体" w:eastAsia="宋体" w:cs="宋体"/>
          <w:color w:val="000000" w:themeColor="text1"/>
          <w:highlight w:val="none"/>
          <w:lang w:eastAsia="zh-CN"/>
          <w14:textFill>
            <w14:solidFill>
              <w14:schemeClr w14:val="tx1"/>
            </w14:solidFill>
          </w14:textFill>
        </w:rPr>
        <w:t>协议期内，代储产品数量补充应以甲方提供</w:t>
      </w:r>
      <w:r>
        <w:rPr>
          <w:rFonts w:hint="eastAsia" w:ascii="宋体" w:hAnsi="宋体" w:eastAsia="宋体" w:cs="宋体"/>
          <w:strike w:val="0"/>
          <w:dstrike w:val="0"/>
          <w:color w:val="auto"/>
          <w:highlight w:val="none"/>
          <w:lang w:val="en-US" w:eastAsia="zh-CN"/>
        </w:rPr>
        <w:t>代储补库单</w:t>
      </w:r>
      <w:r>
        <w:rPr>
          <w:rFonts w:hint="eastAsia" w:ascii="宋体" w:hAnsi="宋体" w:eastAsia="宋体" w:cs="宋体"/>
          <w:color w:val="000000" w:themeColor="text1"/>
          <w:highlight w:val="none"/>
          <w:lang w:eastAsia="zh-CN"/>
          <w14:textFill>
            <w14:solidFill>
              <w14:schemeClr w14:val="tx1"/>
            </w14:solidFill>
          </w14:textFill>
        </w:rPr>
        <w:t>为准。</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3.4</w:t>
      </w:r>
      <w:r>
        <w:rPr>
          <w:rFonts w:hint="eastAsia" w:ascii="宋体" w:hAnsi="宋体" w:eastAsia="宋体" w:cs="宋体"/>
          <w:color w:val="000000" w:themeColor="text1"/>
          <w:highlight w:val="none"/>
          <w:lang w:eastAsia="zh-CN"/>
          <w14:textFill>
            <w14:solidFill>
              <w14:schemeClr w14:val="tx1"/>
            </w14:solidFill>
          </w14:textFill>
        </w:rPr>
        <w:t>甲方负责为乙方代储的产品办理入库、退库、发放手续。</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lang w:eastAsia="zh-CN"/>
          <w14:textFill>
            <w14:solidFill>
              <w14:schemeClr w14:val="tx1"/>
            </w14:solidFill>
          </w14:textFill>
        </w:rPr>
        <w:t>代储产品明细由甲方向乙方提供。库存数量低于本协议约定或不能满足甲方需求时，乙方应当按甲方代储补</w:t>
      </w:r>
      <w:r>
        <w:rPr>
          <w:rFonts w:hint="eastAsia" w:ascii="宋体" w:hAnsi="宋体" w:eastAsia="宋体" w:cs="宋体"/>
          <w:color w:val="auto"/>
          <w:highlight w:val="none"/>
          <w:lang w:eastAsia="zh-CN"/>
        </w:rPr>
        <w:t>货（</w:t>
      </w:r>
      <w:r>
        <w:rPr>
          <w:rFonts w:hint="eastAsia" w:ascii="宋体" w:hAnsi="宋体" w:eastAsia="宋体" w:cs="宋体"/>
          <w:color w:val="auto"/>
          <w:highlight w:val="none"/>
          <w:lang w:val="en-US" w:eastAsia="zh-CN"/>
        </w:rPr>
        <w:t>库</w:t>
      </w:r>
      <w:r>
        <w:rPr>
          <w:rFonts w:hint="eastAsia" w:ascii="宋体" w:hAnsi="宋体" w:eastAsia="宋体" w:cs="宋体"/>
          <w:color w:val="auto"/>
          <w:highlight w:val="none"/>
          <w:lang w:eastAsia="zh-CN"/>
        </w:rPr>
        <w:t>）</w:t>
      </w:r>
      <w:r>
        <w:rPr>
          <w:rFonts w:hint="eastAsia" w:ascii="宋体" w:hAnsi="宋体" w:eastAsia="宋体" w:cs="宋体"/>
          <w:color w:val="000000" w:themeColor="text1"/>
          <w:highlight w:val="none"/>
          <w:lang w:eastAsia="zh-CN"/>
          <w14:textFill>
            <w14:solidFill>
              <w14:schemeClr w14:val="tx1"/>
            </w14:solidFill>
          </w14:textFill>
        </w:rPr>
        <w:t>通知要求及时补充库存。</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lang w:eastAsia="zh-CN"/>
          <w14:textFill>
            <w14:solidFill>
              <w14:schemeClr w14:val="tx1"/>
            </w14:solidFill>
          </w14:textFill>
        </w:rPr>
        <w:t>因甲方生产需求变更、产品升级或协议期满不再需要代储乙方产品时，甲方有权通知乙方将该产品退库，乙方应当按甲方要求及时将产品办理退库手续，因产品退库所发生的相关费用均由乙方自行承担。若乙方在规定时间内未办理退库手续的，发生产品损毁、灭失、丢失的，甲方不承担任何法律责任。</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lang w:eastAsia="zh-CN"/>
          <w14:textFill>
            <w14:solidFill>
              <w14:schemeClr w14:val="tx1"/>
            </w14:solidFill>
          </w14:textFill>
        </w:rPr>
        <w:t>乙方有权对代储产品的保管及使用情况定期进行查询和账务核对。</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lang w:eastAsia="zh-CN"/>
          <w14:textFill>
            <w14:solidFill>
              <w14:schemeClr w14:val="tx1"/>
            </w14:solidFill>
          </w14:textFill>
        </w:rPr>
        <w:t>乙方将代储产品调拨到甲方以外单位的，应当通知甲方，由甲方协助</w:t>
      </w:r>
      <w:r>
        <w:rPr>
          <w:rFonts w:hint="eastAsia" w:ascii="宋体" w:hAnsi="宋体" w:eastAsia="宋体" w:cs="宋体"/>
          <w:color w:val="000000" w:themeColor="text1"/>
          <w:highlight w:val="none"/>
          <w:lang w:val="en-US" w:eastAsia="zh-CN"/>
          <w14:textFill>
            <w14:solidFill>
              <w14:schemeClr w14:val="tx1"/>
            </w14:solidFill>
          </w14:textFill>
        </w:rPr>
        <w:t>办理退库手续</w:t>
      </w:r>
      <w:r>
        <w:rPr>
          <w:rFonts w:hint="eastAsia"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第四条 供货范围</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lang w:eastAsia="zh-CN"/>
          <w14:textFill>
            <w14:solidFill>
              <w14:schemeClr w14:val="tx1"/>
            </w14:solidFill>
          </w14:textFill>
        </w:rPr>
        <w:t>.1详见附件《工业品买卖框架（代储）协议明细表》。</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第五条 产品技术规范、质量标准</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.1产品所遵守的技术规范应与采购文件规定的技术规范、技术规范附件及其技术规范偏差表(甲方接受)相一致；如果采购文件中没有技术规范的相应说明，应以国家有关部门最新颁布的相应标准和规范为准。</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.2质量标准以</w:t>
      </w:r>
      <w:r>
        <w:rPr>
          <w:rFonts w:hint="eastAsia" w:ascii="宋体" w:hAnsi="宋体" w:eastAsia="宋体" w:cs="宋体"/>
          <w:color w:val="000000" w:themeColor="text1"/>
          <w:highlight w:val="none"/>
          <w:lang w:val="en-US" w:eastAsia="zh-CN"/>
          <w14:textFill>
            <w14:solidFill>
              <w14:schemeClr w14:val="tx1"/>
            </w14:solidFill>
          </w14:textFill>
        </w:rPr>
        <w:t>采购文件要求为准，未明确</w:t>
      </w:r>
      <w:r>
        <w:rPr>
          <w:rFonts w:ascii="宋体" w:hAnsi="宋体" w:eastAsia="宋体" w:cs="宋体"/>
          <w:color w:val="000000" w:themeColor="text1"/>
          <w:highlight w:val="none"/>
          <w:lang w:eastAsia="zh-CN"/>
          <w14:textFill>
            <w14:solidFill>
              <w14:schemeClr w14:val="tx1"/>
            </w14:solidFill>
          </w14:textFill>
        </w:rPr>
        <w:t>质量标准</w:t>
      </w:r>
      <w:r>
        <w:rPr>
          <w:rFonts w:hint="eastAsia" w:ascii="宋体" w:hAnsi="宋体" w:eastAsia="宋体" w:cs="宋体"/>
          <w:color w:val="000000" w:themeColor="text1"/>
          <w:highlight w:val="none"/>
          <w:lang w:val="en-US" w:eastAsia="zh-CN"/>
          <w14:textFill>
            <w14:solidFill>
              <w14:schemeClr w14:val="tx1"/>
            </w14:solidFill>
          </w14:textFill>
        </w:rPr>
        <w:t>的以</w:t>
      </w:r>
      <w:r>
        <w:rPr>
          <w:rFonts w:ascii="宋体" w:hAnsi="宋体" w:eastAsia="宋体" w:cs="宋体"/>
          <w:color w:val="000000" w:themeColor="text1"/>
          <w:highlight w:val="none"/>
          <w:lang w:eastAsia="zh-CN"/>
          <w14:textFill>
            <w14:solidFill>
              <w14:schemeClr w14:val="tx1"/>
            </w14:solidFill>
          </w14:textFill>
        </w:rPr>
        <w:t>国家标准、行业标准、企业标准中最高者为准，如执行企业标准，乙方应向甲方提供企业标准的相关资料，需满足技术协议（技术规格书）相应要求；国家规定需要办理</w:t>
      </w:r>
      <w:r>
        <w:rPr>
          <w:rFonts w:hint="eastAsia" w:ascii="宋体" w:hAnsi="宋体" w:eastAsia="宋体" w:cs="宋体"/>
          <w:color w:val="000000" w:themeColor="text1"/>
          <w:highlight w:val="none"/>
          <w:lang w:eastAsia="zh-CN"/>
          <w14:textFill>
            <w14:solidFill>
              <w14:schemeClr w14:val="tx1"/>
            </w14:solidFill>
          </w14:textFill>
        </w:rPr>
        <w:t>“产品合格证”</w:t>
      </w:r>
      <w:r>
        <w:rPr>
          <w:rFonts w:hint="eastAsia" w:ascii="宋体" w:hAnsi="宋体" w:eastAsia="宋体" w:cs="宋体"/>
          <w:color w:val="auto"/>
          <w:highlight w:val="none"/>
          <w:lang w:eastAsia="zh-CN"/>
        </w:rPr>
        <w:t>“煤矿矿用产品安全标志认证”</w:t>
      </w:r>
      <w:r>
        <w:rPr>
          <w:rFonts w:ascii="宋体" w:hAnsi="宋体" w:eastAsia="宋体" w:cs="宋体"/>
          <w:color w:val="000000" w:themeColor="text1"/>
          <w:highlight w:val="none"/>
          <w:lang w:eastAsia="zh-CN"/>
          <w14:textFill>
            <w14:solidFill>
              <w14:schemeClr w14:val="tx1"/>
            </w14:solidFill>
          </w14:textFill>
        </w:rPr>
        <w:t>“3C认证”“防爆合格证”“生产许可证</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等相关资质证件的</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交货时应随货同行，资证合法有效。</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.3乙方保证按</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提供的产品是全新的、完全符合</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规定的质量、规格和性能要求，没有设计、制造、材料、工艺或其他缺陷，乙方对提供的产品质量负责。</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4乙方所供产品，如甲方认为属于对企业安全生产有重大或较大影响的设备，甲方有权选择根据需要派出监造人员，对设备及其关键部件制造、检验情况进行现场监造。乙方配合甲方做好设备的驻厂监造或设备关键节点访问监造。</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default" w:ascii="宋体" w:hAnsi="宋体" w:eastAsia="宋体" w:cs="宋体"/>
          <w:color w:val="000000" w:themeColor="text1"/>
          <w:highlight w:val="none"/>
          <w:u w:val="singl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5.5需</w:t>
      </w:r>
      <w:r>
        <w:rPr>
          <w:rFonts w:hint="eastAsia" w:ascii="宋体" w:hAnsi="宋体" w:eastAsia="宋体" w:cs="宋体"/>
          <w:color w:val="000000" w:themeColor="text1"/>
          <w:highlight w:val="none"/>
          <w:lang w:eastAsia="zh-CN"/>
          <w14:textFill>
            <w14:solidFill>
              <w14:schemeClr w14:val="tx1"/>
            </w14:solidFill>
          </w14:textFill>
        </w:rPr>
        <w:t>特别约定的产品技术规范、质量标准要求：无</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第六条 包装、标记及运输</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FF0000"/>
          <w:sz w:val="22"/>
          <w:highlight w:val="none"/>
          <w:lang w:eastAsia="zh-CN"/>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.1包装</w:t>
      </w:r>
      <w:r>
        <w:rPr>
          <w:rFonts w:hint="eastAsia"/>
          <w:color w:val="000000" w:themeColor="text1"/>
          <w:sz w:val="22"/>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乙方交付的全部产品，应采用行业通用的方式进行包装，适用于远距离运输、</w:t>
      </w:r>
      <w:r>
        <w:rPr>
          <w:rFonts w:ascii="宋体" w:hAnsi="宋体" w:eastAsia="宋体" w:cs="宋体"/>
          <w:color w:val="auto"/>
          <w:highlight w:val="none"/>
          <w:lang w:eastAsia="zh-CN"/>
        </w:rPr>
        <w:t>防潮、防震、防锈等；由于包装不善所引起的货物锈蚀、损坏和损失等一切风险均由乙方承担。包装一切费用由乙方自理，甲方无需将包装物退还给乙方</w:t>
      </w:r>
      <w:r>
        <w:rPr>
          <w:rFonts w:hint="eastAsia" w:ascii="宋体" w:hAnsi="宋体" w:eastAsia="宋体" w:cs="宋体"/>
          <w:color w:val="auto"/>
          <w:highlight w:val="none"/>
          <w:lang w:eastAsia="zh-CN"/>
        </w:rPr>
        <w:t>，特殊物资以</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.4条约定为准。</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14:textFill>
            <w14:solidFill>
              <w14:schemeClr w14:val="tx1"/>
            </w14:solidFill>
          </w14:textFill>
        </w:rPr>
        <w:t>.2标记</w:t>
      </w:r>
      <w:r>
        <w:rPr>
          <w:rFonts w:hint="eastAsia" w:eastAsia="宋体"/>
          <w:color w:val="000000" w:themeColor="text1"/>
          <w:sz w:val="22"/>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乙方应按</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约定在产品包装上以不可擦除的、明显的方式做出必要的标记。根据产品的特点和运输、保管的不同要求，乙方应对产品清楚地标注“小心轻放”“此端朝上，请勿倒置”“保持干燥”等字样和其他适当标记。如产品中含有易燃易爆物品、腐蚀物品、放射性物质等危险品，乙方应按照国家规定进行标识标记</w:t>
      </w:r>
      <w:r>
        <w:rPr>
          <w:rFonts w:hint="eastAsia" w:ascii="宋体" w:hAnsi="宋体" w:eastAsia="宋体" w:cs="宋体"/>
          <w:color w:val="000000" w:themeColor="text1"/>
          <w:highlight w:val="none"/>
          <w:lang w:eastAsia="zh-CN"/>
          <w14:textFill>
            <w14:solidFill>
              <w14:schemeClr w14:val="tx1"/>
            </w14:solidFill>
          </w14:textFill>
        </w:rPr>
        <w:t>，并随货提供危险品运输许可证、安全技术说明书等</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.3运输</w:t>
      </w:r>
      <w:r>
        <w:rPr>
          <w:rFonts w:hint="eastAsia"/>
          <w:color w:val="000000" w:themeColor="text1"/>
          <w:sz w:val="22"/>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乙方自行选择适宜的运输工具及线路安排产品运输并按期运送至甲方指定地点交货；运杂费由乙方负担并承担全部安全责任</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运杂费</w:t>
      </w:r>
      <w:r>
        <w:rPr>
          <w:rFonts w:hint="eastAsia" w:ascii="宋体" w:hAnsi="宋体" w:eastAsia="宋体" w:cs="宋体"/>
          <w:color w:val="000000" w:themeColor="text1"/>
          <w:highlight w:val="none"/>
          <w:lang w:val="en-US" w:eastAsia="zh-CN"/>
          <w14:textFill>
            <w14:solidFill>
              <w14:schemeClr w14:val="tx1"/>
            </w14:solidFill>
          </w14:textFill>
        </w:rPr>
        <w:t>单独约定的除外）</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4需特别约定的产品包装、标记及运输要求：</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外购件送货时需提供原生产制造厂家出具的合格证 </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yellow"/>
          <w:u w:val="single"/>
          <w:lang w:val="en-US"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第七条 产品交付时间、地点及方式</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lang w:eastAsia="zh-CN"/>
          <w14:textFill>
            <w14:solidFill>
              <w14:schemeClr w14:val="tx1"/>
            </w14:solidFill>
          </w14:textFill>
        </w:rPr>
        <w:t>.1乙方依据</w:t>
      </w:r>
      <w:r>
        <w:rPr>
          <w:rFonts w:hint="eastAsia" w:ascii="宋体" w:hAnsi="宋体" w:eastAsia="宋体" w:cs="宋体"/>
          <w:strike w:val="0"/>
          <w:dstrike w:val="0"/>
          <w:color w:val="auto"/>
          <w:highlight w:val="none"/>
          <w:lang w:val="en-US" w:eastAsia="zh-CN"/>
        </w:rPr>
        <w:t>甲方要求</w:t>
      </w:r>
      <w:r>
        <w:rPr>
          <w:rFonts w:hint="eastAsia" w:ascii="宋体" w:hAnsi="宋体" w:eastAsia="宋体" w:cs="宋体"/>
          <w:color w:val="000000" w:themeColor="text1"/>
          <w:highlight w:val="none"/>
          <w:lang w:eastAsia="zh-CN"/>
          <w14:textFill>
            <w14:solidFill>
              <w14:schemeClr w14:val="tx1"/>
            </w14:solidFill>
          </w14:textFill>
        </w:rPr>
        <w:t>的地点和时间完成产品的交付</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u w:val="none"/>
          <w:lang w:val="en-US" w:eastAsia="zh-CN"/>
          <w14:textFill>
            <w14:solidFill>
              <w14:schemeClr w14:val="tx1"/>
            </w14:solidFill>
          </w14:textFill>
        </w:rPr>
        <w:t>交货地点：</w:t>
      </w:r>
      <w:r>
        <w:rPr>
          <w:rFonts w:hint="eastAsia" w:ascii="宋体" w:hAnsi="宋体" w:eastAsia="宋体" w:cs="宋体"/>
          <w:color w:val="000000" w:themeColor="text1"/>
          <w:sz w:val="21"/>
          <w:szCs w:val="21"/>
          <w:highlight w:val="yellow"/>
          <w:u w:val="single"/>
          <w:lang w:val="en-US" w:eastAsia="zh-CN"/>
          <w14:textFill>
            <w14:solidFill>
              <w14:schemeClr w14:val="tx1"/>
            </w14:solidFill>
          </w14:textFill>
        </w:rPr>
        <w:t>淮北矿业股份有限公司下属各矿厂</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；交货时间：</w:t>
      </w:r>
      <w:r>
        <w:rPr>
          <w:rFonts w:hint="eastAsia" w:ascii="宋体" w:hAnsi="宋体" w:eastAsia="宋体" w:cs="宋体"/>
          <w:color w:val="000000" w:themeColor="text1"/>
          <w:highlight w:val="yellow"/>
          <w:u w:val="single"/>
          <w:lang w:val="en-US" w:eastAsia="zh-CN"/>
          <w14:textFill>
            <w14:solidFill>
              <w14:schemeClr w14:val="tx1"/>
            </w14:solidFill>
          </w14:textFill>
        </w:rPr>
        <w:t>送货单开具后30日内</w:t>
      </w:r>
      <w:r>
        <w:rPr>
          <w:rFonts w:hint="eastAsia"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7.2若为非代储模式，产品的所有权和风险自甲方对产品的数量及质量进行验收合格入库后转移至甲方。</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auto"/>
          <w:highlight w:val="none"/>
          <w:lang w:eastAsia="zh-CN"/>
        </w:rPr>
      </w:pP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若为代储模式，代储产品的所有权和风险自终端使用方实际领用并办理出库手续后转移至甲方。在此之前，产品的毁损、灭失风险由乙方承担。</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7.4</w:t>
      </w:r>
      <w:r>
        <w:rPr>
          <w:rFonts w:hint="eastAsia" w:ascii="宋体" w:hAnsi="宋体" w:eastAsia="宋体" w:cs="宋体"/>
          <w:color w:val="auto"/>
          <w:highlight w:val="none"/>
          <w:lang w:eastAsia="zh-CN"/>
        </w:rPr>
        <w:t>甲方有权要求乙方推迟交货，但必须提前</w:t>
      </w:r>
      <w:r>
        <w:rPr>
          <w:rFonts w:hint="eastAsia" w:ascii="宋体" w:hAnsi="宋体" w:eastAsia="宋体" w:cs="宋体"/>
          <w:color w:val="auto"/>
          <w:highlight w:val="yellow"/>
          <w:u w:val="single"/>
          <w:lang w:eastAsia="zh-CN"/>
        </w:rPr>
        <w:t xml:space="preserve"> </w:t>
      </w:r>
      <w:r>
        <w:rPr>
          <w:rFonts w:hint="eastAsia" w:ascii="宋体" w:hAnsi="宋体" w:eastAsia="宋体" w:cs="宋体"/>
          <w:color w:val="auto"/>
          <w:highlight w:val="yellow"/>
          <w:u w:val="single"/>
          <w:lang w:val="en-US" w:eastAsia="zh-CN"/>
        </w:rPr>
        <w:t>1</w:t>
      </w:r>
      <w:r>
        <w:rPr>
          <w:rFonts w:hint="eastAsia" w:ascii="宋体" w:hAnsi="宋体" w:eastAsia="宋体" w:cs="宋体"/>
          <w:color w:val="auto"/>
          <w:highlight w:val="yellow"/>
          <w:u w:val="single"/>
          <w:lang w:eastAsia="zh-CN"/>
        </w:rPr>
        <w:t xml:space="preserve">  </w:t>
      </w:r>
      <w:r>
        <w:rPr>
          <w:rFonts w:hint="eastAsia" w:ascii="宋体" w:hAnsi="宋体" w:eastAsia="宋体" w:cs="宋体"/>
          <w:color w:val="auto"/>
          <w:highlight w:val="none"/>
          <w:lang w:eastAsia="zh-CN"/>
        </w:rPr>
        <w:t>天通知乙方，乙方不得拒绝，推迟交货不超过</w:t>
      </w:r>
      <w:r>
        <w:rPr>
          <w:rFonts w:hint="eastAsia" w:ascii="宋体" w:hAnsi="宋体" w:eastAsia="宋体" w:cs="宋体"/>
          <w:color w:val="auto"/>
          <w:highlight w:val="yellow"/>
          <w:u w:val="single"/>
          <w:lang w:eastAsia="zh-CN"/>
        </w:rPr>
        <w:t xml:space="preserve"> </w:t>
      </w:r>
      <w:r>
        <w:rPr>
          <w:rFonts w:hint="eastAsia" w:ascii="宋体" w:hAnsi="宋体" w:eastAsia="宋体" w:cs="宋体"/>
          <w:color w:val="auto"/>
          <w:highlight w:val="yellow"/>
          <w:u w:val="single"/>
          <w:lang w:val="en-US" w:eastAsia="zh-CN"/>
        </w:rPr>
        <w:t>2</w:t>
      </w:r>
      <w:r>
        <w:rPr>
          <w:rFonts w:hint="eastAsia" w:ascii="宋体" w:hAnsi="宋体" w:eastAsia="宋体" w:cs="宋体"/>
          <w:color w:val="auto"/>
          <w:highlight w:val="yellow"/>
          <w:u w:val="single"/>
          <w:lang w:eastAsia="zh-CN"/>
        </w:rPr>
        <w:t xml:space="preserve"> </w:t>
      </w:r>
      <w:r>
        <w:rPr>
          <w:rFonts w:hint="eastAsia" w:ascii="宋体" w:hAnsi="宋体" w:eastAsia="宋体" w:cs="宋体"/>
          <w:color w:val="auto"/>
          <w:highlight w:val="none"/>
          <w:lang w:eastAsia="zh-CN"/>
        </w:rPr>
        <w:t>个月且乙方不得收取费用，超过</w:t>
      </w:r>
      <w:r>
        <w:rPr>
          <w:rFonts w:hint="eastAsia" w:ascii="宋体" w:hAnsi="宋体" w:eastAsia="宋体" w:cs="宋体"/>
          <w:color w:val="auto"/>
          <w:highlight w:val="yellow"/>
          <w:u w:val="single"/>
          <w:lang w:eastAsia="zh-CN"/>
        </w:rPr>
        <w:t xml:space="preserve"> </w:t>
      </w:r>
      <w:r>
        <w:rPr>
          <w:rFonts w:hint="eastAsia" w:ascii="宋体" w:hAnsi="宋体" w:eastAsia="宋体" w:cs="宋体"/>
          <w:color w:val="auto"/>
          <w:highlight w:val="yellow"/>
          <w:u w:val="single"/>
          <w:lang w:val="en-US" w:eastAsia="zh-CN"/>
        </w:rPr>
        <w:t>2</w:t>
      </w:r>
      <w:r>
        <w:rPr>
          <w:rFonts w:hint="eastAsia" w:ascii="宋体" w:hAnsi="宋体" w:eastAsia="宋体" w:cs="宋体"/>
          <w:color w:val="auto"/>
          <w:highlight w:val="yellow"/>
          <w:u w:val="single"/>
          <w:lang w:eastAsia="zh-CN"/>
        </w:rPr>
        <w:t xml:space="preserve">  </w:t>
      </w:r>
      <w:r>
        <w:rPr>
          <w:rFonts w:hint="eastAsia" w:ascii="宋体" w:hAnsi="宋体" w:eastAsia="宋体" w:cs="宋体"/>
          <w:color w:val="auto"/>
          <w:highlight w:val="none"/>
          <w:lang w:eastAsia="zh-CN"/>
        </w:rPr>
        <w:t>个月由合同甲乙双方协商解决。</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7.5需特别约定的产品交付时间、地点及方式：</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无 </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第八条 产品验收、检验与救济方式</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lang w:eastAsia="zh-CN"/>
          <w14:textFill>
            <w14:solidFill>
              <w14:schemeClr w14:val="tx1"/>
            </w14:solidFill>
          </w14:textFill>
        </w:rPr>
        <w:t>.1 按本协议第</w:t>
      </w:r>
      <w:r>
        <w:rPr>
          <w:rFonts w:hint="eastAsia" w:ascii="宋体" w:hAnsi="宋体" w:eastAsia="宋体" w:cs="宋体"/>
          <w:color w:val="000000" w:themeColor="text1"/>
          <w:highlight w:val="none"/>
          <w:lang w:val="en-US" w:eastAsia="zh-CN"/>
          <w14:textFill>
            <w14:solidFill>
              <w14:schemeClr w14:val="tx1"/>
            </w14:solidFill>
          </w14:textFill>
        </w:rPr>
        <w:t>四条关于产品技术规范、质量标准的</w:t>
      </w:r>
      <w:r>
        <w:rPr>
          <w:rFonts w:hint="eastAsia" w:ascii="宋体" w:hAnsi="宋体" w:eastAsia="宋体" w:cs="宋体"/>
          <w:color w:val="000000" w:themeColor="text1"/>
          <w:highlight w:val="none"/>
          <w:lang w:eastAsia="zh-CN"/>
          <w14:textFill>
            <w14:solidFill>
              <w14:schemeClr w14:val="tx1"/>
            </w14:solidFill>
          </w14:textFill>
        </w:rPr>
        <w:t>约定进行验收、检验。</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lang w:eastAsia="zh-CN"/>
          <w14:textFill>
            <w14:solidFill>
              <w14:schemeClr w14:val="tx1"/>
            </w14:solidFill>
          </w14:textFill>
        </w:rPr>
        <w:t>.2发货前，</w:t>
      </w:r>
      <w:r>
        <w:rPr>
          <w:rFonts w:ascii="宋体" w:hAnsi="宋体" w:eastAsia="宋体" w:cs="宋体"/>
          <w:color w:val="000000" w:themeColor="text1"/>
          <w:highlight w:val="none"/>
          <w:lang w:eastAsia="zh-CN"/>
          <w14:textFill>
            <w14:solidFill>
              <w14:schemeClr w14:val="tx1"/>
            </w14:solidFill>
          </w14:textFill>
        </w:rPr>
        <w:t>乙方应</w:t>
      </w:r>
      <w:r>
        <w:rPr>
          <w:rFonts w:hint="eastAsia" w:ascii="宋体" w:hAnsi="宋体" w:eastAsia="宋体" w:cs="宋体"/>
          <w:color w:val="000000" w:themeColor="text1"/>
          <w:highlight w:val="none"/>
          <w:lang w:eastAsia="zh-CN"/>
          <w14:textFill>
            <w14:solidFill>
              <w14:schemeClr w14:val="tx1"/>
            </w14:solidFill>
          </w14:textFill>
        </w:rPr>
        <w:t>以</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rPr>
          <w:rFonts w:ascii="宋体" w:hAnsi="宋体" w:eastAsia="宋体" w:cs="宋体"/>
          <w:color w:val="444444"/>
          <w:sz w:val="27"/>
          <w:szCs w:val="27"/>
          <w:highlight w:val="yellow"/>
          <w:u w:val="single"/>
          <w:shd w:val="clear" w:color="auto" w:fill="FFFFFF"/>
          <w:lang w:eastAsia="zh-CN"/>
        </w:rPr>
        <w:t>在淮北矿业电子商务采购平台</w:t>
      </w:r>
      <w:r>
        <w:rPr>
          <w:rFonts w:hint="eastAsia" w:ascii="宋体" w:hAnsi="宋体" w:eastAsia="宋体" w:cs="宋体"/>
          <w:color w:val="444444"/>
          <w:sz w:val="27"/>
          <w:szCs w:val="27"/>
          <w:highlight w:val="yellow"/>
          <w:u w:val="single"/>
          <w:shd w:val="clear" w:color="auto" w:fill="FFFFFF"/>
          <w:lang w:eastAsia="zh-CN"/>
        </w:rPr>
        <w:t>上乙方</w:t>
      </w:r>
      <w:r>
        <w:rPr>
          <w:rFonts w:ascii="宋体" w:hAnsi="宋体" w:eastAsia="宋体" w:cs="宋体"/>
          <w:color w:val="444444"/>
          <w:sz w:val="27"/>
          <w:szCs w:val="27"/>
          <w:highlight w:val="yellow"/>
          <w:u w:val="single"/>
          <w:shd w:val="clear" w:color="auto" w:fill="FFFFFF"/>
          <w:lang w:eastAsia="zh-CN"/>
        </w:rPr>
        <w:t>开具发货单</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方式</w:t>
      </w:r>
      <w:r>
        <w:rPr>
          <w:rFonts w:ascii="宋体" w:hAnsi="宋体" w:eastAsia="宋体" w:cs="宋体"/>
          <w:color w:val="000000" w:themeColor="text1"/>
          <w:highlight w:val="none"/>
          <w:lang w:eastAsia="zh-CN"/>
          <w14:textFill>
            <w14:solidFill>
              <w14:schemeClr w14:val="tx1"/>
            </w14:solidFill>
          </w14:textFill>
        </w:rPr>
        <w:t>向甲方准确通知货物的发运日期、发运方式以及货物的名称、数量、重量、外形尺寸等基本情况，以便甲方或</w:t>
      </w:r>
      <w:r>
        <w:rPr>
          <w:rFonts w:hint="eastAsia" w:ascii="宋体" w:hAnsi="宋体" w:eastAsia="宋体" w:cs="宋体"/>
          <w:color w:val="000000" w:themeColor="text1"/>
          <w:highlight w:val="none"/>
          <w:lang w:eastAsia="zh-CN"/>
          <w14:textFill>
            <w14:solidFill>
              <w14:schemeClr w14:val="tx1"/>
            </w14:solidFill>
          </w14:textFill>
        </w:rPr>
        <w:t>终端使用方</w:t>
      </w:r>
      <w:r>
        <w:rPr>
          <w:rFonts w:ascii="宋体" w:hAnsi="宋体" w:eastAsia="宋体" w:cs="宋体"/>
          <w:color w:val="000000" w:themeColor="text1"/>
          <w:highlight w:val="none"/>
          <w:lang w:eastAsia="zh-CN"/>
          <w14:textFill>
            <w14:solidFill>
              <w14:schemeClr w14:val="tx1"/>
            </w14:solidFill>
          </w14:textFill>
        </w:rPr>
        <w:t>做好接收准备</w:t>
      </w:r>
      <w:r>
        <w:rPr>
          <w:rFonts w:hint="eastAsia"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8.3物资验收要求与流程等按照《淮北矿业集团物资验收管理办法》规定执行。</w:t>
      </w:r>
      <w:r>
        <w:rPr>
          <w:rFonts w:ascii="宋体" w:hAnsi="宋体" w:eastAsia="宋体" w:cs="宋体"/>
          <w:color w:val="000000" w:themeColor="text1"/>
          <w:highlight w:val="none"/>
          <w:lang w:eastAsia="zh-CN"/>
          <w14:textFill>
            <w14:solidFill>
              <w14:schemeClr w14:val="tx1"/>
            </w14:solidFill>
          </w14:textFill>
        </w:rPr>
        <w:t>在验收过程中，因交付货物的部分或全部不符合</w:t>
      </w:r>
      <w:r>
        <w:rPr>
          <w:rFonts w:hint="eastAsia" w:ascii="宋体" w:hAnsi="宋体" w:eastAsia="宋体" w:cs="宋体"/>
          <w:color w:val="000000" w:themeColor="text1"/>
          <w:highlight w:val="none"/>
          <w:lang w:eastAsia="zh-CN"/>
          <w14:textFill>
            <w14:solidFill>
              <w14:schemeClr w14:val="tx1"/>
            </w14:solidFill>
          </w14:textFill>
        </w:rPr>
        <w:t>本协议</w:t>
      </w:r>
      <w:r>
        <w:rPr>
          <w:rFonts w:ascii="宋体" w:hAnsi="宋体" w:eastAsia="宋体" w:cs="宋体"/>
          <w:color w:val="000000" w:themeColor="text1"/>
          <w:highlight w:val="none"/>
          <w:lang w:eastAsia="zh-CN"/>
          <w14:textFill>
            <w14:solidFill>
              <w14:schemeClr w14:val="tx1"/>
            </w14:solidFill>
          </w14:textFill>
        </w:rPr>
        <w:t>约定的数量、质量标准，外观变形损坏、破损、配件缺失及未达到甲方技术需求等情形，甲方有权选择拒绝接收该货物或者要求乙方负责无偿在甲方规定的时限内完成更换、补齐，确保所交付的货物符合</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约定，由此给甲方造成损失的，由乙方依法赔偿。</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4合理损耗标准及计算方法：</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无 </w:t>
      </w:r>
      <w:r>
        <w:rPr>
          <w:rFonts w:hint="eastAsia" w:ascii="宋体" w:hAnsi="宋体" w:eastAsia="宋体" w:cs="宋体"/>
          <w:color w:val="000000" w:themeColor="text1"/>
          <w:highlight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8.5</w:t>
      </w:r>
      <w:r>
        <w:rPr>
          <w:rFonts w:ascii="宋体" w:hAnsi="宋体" w:eastAsia="宋体" w:cs="宋体"/>
          <w:color w:val="000000" w:themeColor="text1"/>
          <w:highlight w:val="none"/>
          <w14:textFill>
            <w14:solidFill>
              <w14:schemeClr w14:val="tx1"/>
            </w14:solidFill>
          </w14:textFill>
        </w:rPr>
        <w:t>产品质量保证期</w:t>
      </w:r>
      <w:r>
        <w:rPr>
          <w:rFonts w:hint="eastAsia" w:eastAsia="宋体"/>
          <w:color w:val="000000" w:themeColor="text1"/>
          <w:sz w:val="22"/>
          <w:highlight w:val="none"/>
          <w:lang w:eastAsia="zh-CN"/>
          <w14:textFill>
            <w14:solidFill>
              <w14:schemeClr w14:val="tx1"/>
            </w14:solidFill>
          </w14:textFill>
        </w:rPr>
        <w:t>：</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一年，自产品验收合格入库之日起计算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u w:val="none"/>
          <w:lang w:eastAsia="zh-CN"/>
          <w14:textFill>
            <w14:solidFill>
              <w14:schemeClr w14:val="tx1"/>
            </w14:solidFill>
          </w14:textFill>
        </w:rPr>
        <w:t>除因甲方使用不当，产品在质量保证期内如破损、变质或被发现存在任何质量问题，乙方应负责进行退换。</w:t>
      </w:r>
      <w:r>
        <w:rPr>
          <w:rFonts w:ascii="宋体" w:hAnsi="宋体" w:eastAsia="宋体" w:cs="宋体"/>
          <w:color w:val="000000" w:themeColor="text1"/>
          <w:highlight w:val="none"/>
          <w:lang w:eastAsia="zh-CN"/>
          <w14:textFill>
            <w14:solidFill>
              <w14:schemeClr w14:val="tx1"/>
            </w14:solidFill>
          </w14:textFill>
        </w:rPr>
        <w:t>质保期内，乙方在接到甲方或</w:t>
      </w:r>
      <w:r>
        <w:rPr>
          <w:rFonts w:hint="eastAsia" w:ascii="宋体" w:hAnsi="宋体" w:eastAsia="宋体" w:cs="宋体"/>
          <w:color w:val="000000" w:themeColor="text1"/>
          <w:highlight w:val="none"/>
          <w:lang w:eastAsia="zh-CN"/>
          <w14:textFill>
            <w14:solidFill>
              <w14:schemeClr w14:val="tx1"/>
            </w14:solidFill>
          </w14:textFill>
        </w:rPr>
        <w:t>终端使用方</w:t>
      </w:r>
      <w:r>
        <w:rPr>
          <w:rFonts w:ascii="宋体" w:hAnsi="宋体" w:eastAsia="宋体" w:cs="宋体"/>
          <w:color w:val="000000" w:themeColor="text1"/>
          <w:highlight w:val="none"/>
          <w:lang w:eastAsia="zh-CN"/>
          <w14:textFill>
            <w14:solidFill>
              <w14:schemeClr w14:val="tx1"/>
            </w14:solidFill>
          </w14:textFill>
        </w:rPr>
        <w:t>通知后，应及时处理产品质量问题，否则，甲方有权暂停或终止后续订单及</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甲方有权对乙方已交付的产品随机抽样检验，产品质量抽检不合格的，</w:t>
      </w:r>
      <w:r>
        <w:rPr>
          <w:rFonts w:hint="eastAsia" w:ascii="宋体" w:hAnsi="宋体" w:eastAsia="宋体" w:cs="宋体"/>
          <w:color w:val="000000" w:themeColor="text1"/>
          <w:highlight w:val="none"/>
          <w:lang w:eastAsia="zh-CN"/>
          <w14:textFill>
            <w14:solidFill>
              <w14:schemeClr w14:val="tx1"/>
            </w14:solidFill>
          </w14:textFill>
        </w:rPr>
        <w:t>按照《物资分公司供应商管理办法》规定进行处理</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8</w:t>
      </w:r>
      <w:r>
        <w:rPr>
          <w:rFonts w:hint="eastAsia" w:ascii="宋体" w:hAnsi="宋体" w:eastAsia="宋体" w:cs="宋体"/>
          <w:b w:val="0"/>
          <w:bCs w:val="0"/>
          <w:color w:val="000000" w:themeColor="text1"/>
          <w:highlight w:val="none"/>
          <w:lang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7乙方超送货单（代储补库单）量供货的，甲方有权拒绝收货。</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8.8救济方式。</w:t>
      </w:r>
      <w:r>
        <w:rPr>
          <w:rFonts w:ascii="宋体" w:hAnsi="宋体" w:eastAsia="宋体" w:cs="宋体"/>
          <w:color w:val="000000" w:themeColor="text1"/>
          <w:highlight w:val="none"/>
          <w:lang w:eastAsia="zh-CN"/>
          <w14:textFill>
            <w14:solidFill>
              <w14:schemeClr w14:val="tx1"/>
            </w14:solidFill>
          </w14:textFill>
        </w:rPr>
        <w:t>乙方所交付产品在数量、规格、质量、性能或任何其他方面与标准、</w:t>
      </w:r>
      <w:r>
        <w:rPr>
          <w:rFonts w:hint="eastAsia" w:ascii="宋体" w:hAnsi="宋体" w:eastAsia="宋体" w:cs="宋体"/>
          <w:color w:val="000000" w:themeColor="text1"/>
          <w:highlight w:val="none"/>
          <w:lang w:eastAsia="zh-CN"/>
          <w14:textFill>
            <w14:solidFill>
              <w14:schemeClr w14:val="tx1"/>
            </w14:solidFill>
          </w14:textFill>
        </w:rPr>
        <w:t>本协议</w:t>
      </w:r>
      <w:r>
        <w:rPr>
          <w:rFonts w:ascii="宋体" w:hAnsi="宋体" w:eastAsia="宋体" w:cs="宋体"/>
          <w:color w:val="000000" w:themeColor="text1"/>
          <w:highlight w:val="none"/>
          <w:lang w:eastAsia="zh-CN"/>
          <w14:textFill>
            <w14:solidFill>
              <w14:schemeClr w14:val="tx1"/>
            </w14:solidFill>
          </w14:textFill>
        </w:rPr>
        <w:t>、技术协议（技术规格书）等不符，甲方有权</w:t>
      </w:r>
      <w:r>
        <w:rPr>
          <w:rFonts w:hint="eastAsia" w:ascii="宋体" w:hAnsi="宋体" w:eastAsia="宋体" w:cs="宋体"/>
          <w:color w:val="auto"/>
          <w:highlight w:val="none"/>
          <w:lang w:eastAsia="zh-CN"/>
        </w:rPr>
        <w:t>以书面形式通知乙方，乙方</w:t>
      </w:r>
      <w:r>
        <w:rPr>
          <w:rFonts w:hint="eastAsia" w:ascii="宋体" w:hAnsi="宋体" w:eastAsia="宋体" w:cs="宋体"/>
          <w:color w:val="auto"/>
          <w:highlight w:val="none"/>
          <w:lang w:val="en-US" w:eastAsia="zh-CN"/>
        </w:rPr>
        <w:t>应</w:t>
      </w:r>
      <w:r>
        <w:rPr>
          <w:rFonts w:hint="eastAsia" w:ascii="宋体" w:hAnsi="宋体" w:eastAsia="宋体" w:cs="宋体"/>
          <w:color w:val="auto"/>
          <w:highlight w:val="none"/>
          <w:lang w:eastAsia="zh-CN"/>
        </w:rPr>
        <w:t>在</w:t>
      </w:r>
      <w:r>
        <w:rPr>
          <w:rFonts w:hint="eastAsia" w:ascii="宋体" w:hAnsi="宋体" w:eastAsia="宋体" w:cs="宋体"/>
          <w:color w:val="auto"/>
          <w:highlight w:val="none"/>
          <w:u w:val="none"/>
          <w:lang w:val="en-US" w:eastAsia="zh-CN"/>
        </w:rPr>
        <w:t>书面</w:t>
      </w:r>
      <w:r>
        <w:rPr>
          <w:rFonts w:hint="eastAsia" w:ascii="宋体" w:hAnsi="宋体" w:eastAsia="宋体" w:cs="宋体"/>
          <w:b w:val="0"/>
          <w:bCs w:val="0"/>
          <w:color w:val="auto"/>
          <w:highlight w:val="none"/>
          <w:u w:val="none"/>
          <w:lang w:val="en-US" w:eastAsia="zh-CN"/>
        </w:rPr>
        <w:t>通知要求的期间内</w:t>
      </w:r>
      <w:r>
        <w:rPr>
          <w:rFonts w:hint="eastAsia" w:ascii="宋体" w:hAnsi="宋体" w:eastAsia="宋体" w:cs="宋体"/>
          <w:color w:val="auto"/>
          <w:highlight w:val="none"/>
          <w:lang w:eastAsia="zh-CN"/>
        </w:rPr>
        <w:t>书面回复处理方案。</w:t>
      </w:r>
      <w:r>
        <w:rPr>
          <w:rFonts w:hint="eastAsia" w:ascii="宋体" w:hAnsi="宋体" w:eastAsia="宋体" w:cs="宋体"/>
          <w:color w:val="auto"/>
          <w:highlight w:val="none"/>
          <w:lang w:val="en-US" w:eastAsia="zh-CN"/>
        </w:rPr>
        <w:t>乙方</w:t>
      </w:r>
      <w:r>
        <w:rPr>
          <w:rFonts w:hint="eastAsia" w:ascii="宋体" w:hAnsi="宋体" w:eastAsia="宋体" w:cs="宋体"/>
          <w:color w:val="auto"/>
          <w:highlight w:val="none"/>
          <w:lang w:eastAsia="zh-CN"/>
        </w:rPr>
        <w:t>逾期未回复的</w:t>
      </w:r>
      <w:r>
        <w:rPr>
          <w:rFonts w:hint="eastAsia" w:ascii="宋体" w:hAnsi="宋体" w:eastAsia="宋体" w:cs="宋体"/>
          <w:color w:val="auto"/>
          <w:highlight w:val="none"/>
          <w:lang w:val="en-US" w:eastAsia="zh-CN"/>
        </w:rPr>
        <w:t>视同对书面通知无异议</w:t>
      </w:r>
      <w:r>
        <w:rPr>
          <w:rFonts w:hint="eastAsia" w:ascii="宋体" w:hAnsi="宋体" w:eastAsia="宋体" w:cs="宋体"/>
          <w:color w:val="000000" w:themeColor="text1"/>
          <w:highlight w:val="none"/>
          <w:lang w:eastAsia="zh-CN"/>
          <w14:textFill>
            <w14:solidFill>
              <w14:schemeClr w14:val="tx1"/>
            </w14:solidFill>
          </w14:textFill>
        </w:rPr>
        <w:t>，甲方有权</w:t>
      </w:r>
      <w:r>
        <w:rPr>
          <w:rFonts w:ascii="宋体" w:hAnsi="宋体" w:eastAsia="宋体" w:cs="宋体"/>
          <w:color w:val="000000" w:themeColor="text1"/>
          <w:highlight w:val="none"/>
          <w:lang w:eastAsia="zh-CN"/>
          <w14:textFill>
            <w14:solidFill>
              <w14:schemeClr w14:val="tx1"/>
            </w14:solidFill>
          </w14:textFill>
        </w:rPr>
        <w:t>要求乙方按下列一种或几种方式</w:t>
      </w:r>
      <w:r>
        <w:rPr>
          <w:rFonts w:hint="eastAsia" w:ascii="宋体" w:hAnsi="宋体" w:eastAsia="宋体" w:cs="宋体"/>
          <w:color w:val="000000" w:themeColor="text1"/>
          <w:highlight w:val="none"/>
          <w:lang w:eastAsia="zh-CN"/>
          <w14:textFill>
            <w14:solidFill>
              <w14:schemeClr w14:val="tx1"/>
            </w14:solidFill>
          </w14:textFill>
        </w:rPr>
        <w:t>进行</w:t>
      </w:r>
      <w:r>
        <w:rPr>
          <w:rFonts w:hint="eastAsia" w:ascii="宋体" w:hAnsi="宋体" w:eastAsia="宋体" w:cs="宋体"/>
          <w:color w:val="000000" w:themeColor="text1"/>
          <w:highlight w:val="none"/>
          <w:lang w:val="en-US" w:eastAsia="zh-CN"/>
          <w14:textFill>
            <w14:solidFill>
              <w14:schemeClr w14:val="tx1"/>
            </w14:solidFill>
          </w14:textFill>
        </w:rPr>
        <w:t>救济</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（1）</w:t>
      </w:r>
      <w:r>
        <w:rPr>
          <w:rFonts w:hint="eastAsia" w:ascii="宋体" w:hAnsi="宋体" w:eastAsia="宋体" w:cs="宋体"/>
          <w:color w:val="000000" w:themeColor="text1"/>
          <w:highlight w:val="none"/>
          <w:u w:val="single"/>
          <w:lang w:val="en-US" w:eastAsia="zh-CN"/>
          <w14:textFill>
            <w14:solidFill>
              <w14:schemeClr w14:val="tx1"/>
            </w14:solidFill>
          </w14:textFill>
        </w:rPr>
        <w:t>甲方</w:t>
      </w:r>
      <w:r>
        <w:rPr>
          <w:rFonts w:ascii="宋体" w:hAnsi="宋体" w:eastAsia="宋体" w:cs="宋体"/>
          <w:color w:val="000000" w:themeColor="text1"/>
          <w:highlight w:val="none"/>
          <w:u w:val="single"/>
          <w:lang w:eastAsia="zh-CN"/>
          <w14:textFill>
            <w14:solidFill>
              <w14:schemeClr w14:val="tx1"/>
            </w14:solidFill>
          </w14:textFill>
        </w:rPr>
        <w:t>退货</w:t>
      </w:r>
      <w:r>
        <w:rPr>
          <w:rFonts w:hint="eastAsia"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同时乙方</w:t>
      </w:r>
      <w:r>
        <w:rPr>
          <w:rFonts w:ascii="宋体" w:hAnsi="宋体" w:eastAsia="宋体" w:cs="宋体"/>
          <w:color w:val="000000" w:themeColor="text1"/>
          <w:highlight w:val="none"/>
          <w:u w:val="single"/>
          <w:lang w:eastAsia="zh-CN"/>
          <w14:textFill>
            <w14:solidFill>
              <w14:schemeClr w14:val="tx1"/>
            </w14:solidFill>
          </w14:textFill>
        </w:rPr>
        <w:t>退还已支付</w:t>
      </w:r>
      <w:r>
        <w:rPr>
          <w:rFonts w:hint="eastAsia" w:ascii="宋体" w:hAnsi="宋体" w:eastAsia="宋体" w:cs="宋体"/>
          <w:color w:val="000000" w:themeColor="text1"/>
          <w:highlight w:val="none"/>
          <w:u w:val="single"/>
          <w:lang w:val="en-US" w:eastAsia="zh-CN"/>
          <w14:textFill>
            <w14:solidFill>
              <w14:schemeClr w14:val="tx1"/>
            </w14:solidFill>
          </w14:textFill>
        </w:rPr>
        <w:t>相应</w:t>
      </w:r>
      <w:r>
        <w:rPr>
          <w:rFonts w:ascii="宋体" w:hAnsi="宋体" w:eastAsia="宋体" w:cs="宋体"/>
          <w:color w:val="000000" w:themeColor="text1"/>
          <w:highlight w:val="none"/>
          <w:u w:val="single"/>
          <w:lang w:eastAsia="zh-CN"/>
          <w14:textFill>
            <w14:solidFill>
              <w14:schemeClr w14:val="tx1"/>
            </w14:solidFill>
          </w14:textFill>
        </w:rPr>
        <w:t>货款，并承担产品质量问题而进行的</w:t>
      </w:r>
      <w:r>
        <w:rPr>
          <w:rFonts w:hint="eastAsia" w:ascii="宋体" w:hAnsi="宋体" w:eastAsia="宋体" w:cs="宋体"/>
          <w:color w:val="000000" w:themeColor="text1"/>
          <w:highlight w:val="none"/>
          <w:u w:val="single"/>
          <w:lang w:val="en-US" w:eastAsia="zh-CN"/>
          <w14:textFill>
            <w14:solidFill>
              <w14:schemeClr w14:val="tx1"/>
            </w14:solidFill>
          </w14:textFill>
        </w:rPr>
        <w:t>检验</w:t>
      </w:r>
      <w:r>
        <w:rPr>
          <w:rFonts w:ascii="宋体" w:hAnsi="宋体" w:eastAsia="宋体" w:cs="宋体"/>
          <w:color w:val="000000" w:themeColor="text1"/>
          <w:highlight w:val="none"/>
          <w:u w:val="single"/>
          <w:lang w:eastAsia="zh-CN"/>
          <w14:textFill>
            <w14:solidFill>
              <w14:schemeClr w14:val="tx1"/>
            </w14:solidFill>
          </w14:textFill>
        </w:rPr>
        <w:t>及其他相关的费用。</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（2）对于已使用且无法退货的消耗性物资，甲方的使用行为不视为对产品质量的认可，甲方有权要求乙方在合理期限内采取修理或降价等补救措施，并赔偿因此造成的直接损失</w:t>
      </w:r>
      <w:r>
        <w:rPr>
          <w:rFonts w:hint="eastAsia" w:ascii="宋体" w:hAnsi="宋体" w:eastAsia="宋体" w:cs="宋体"/>
          <w:color w:val="000000" w:themeColor="text1"/>
          <w:highlight w:val="none"/>
          <w:u w:val="single"/>
          <w:lang w:val="en-US" w:eastAsia="zh-CN"/>
          <w14:textFill>
            <w14:solidFill>
              <w14:schemeClr w14:val="tx1"/>
            </w14:solidFill>
          </w14:textFill>
        </w:rPr>
        <w:t>和</w:t>
      </w:r>
      <w:r>
        <w:rPr>
          <w:rFonts w:hint="eastAsia" w:ascii="宋体" w:hAnsi="宋体" w:eastAsia="宋体" w:cs="宋体"/>
          <w:color w:val="000000" w:themeColor="text1"/>
          <w:highlight w:val="none"/>
          <w:u w:val="single"/>
          <w:lang w:eastAsia="zh-CN"/>
          <w14:textFill>
            <w14:solidFill>
              <w14:schemeClr w14:val="tx1"/>
            </w14:solidFill>
          </w14:textFill>
        </w:rPr>
        <w:t>间接损失。</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3</w:t>
      </w:r>
      <w:r>
        <w:rPr>
          <w:rFonts w:ascii="宋体" w:hAnsi="宋体" w:eastAsia="宋体" w:cs="宋体"/>
          <w:color w:val="000000" w:themeColor="text1"/>
          <w:highlight w:val="none"/>
          <w:u w:val="single"/>
          <w:lang w:eastAsia="zh-CN"/>
          <w14:textFill>
            <w14:solidFill>
              <w14:schemeClr w14:val="tx1"/>
            </w14:solidFill>
          </w14:textFill>
        </w:rPr>
        <w:t>）更换整个有瑕疵的零件</w:t>
      </w:r>
      <w:r>
        <w:rPr>
          <w:rFonts w:hint="eastAsia" w:ascii="宋体" w:hAnsi="宋体" w:eastAsia="宋体" w:cs="宋体"/>
          <w:color w:val="000000" w:themeColor="text1"/>
          <w:highlight w:val="none"/>
          <w:u w:val="single"/>
          <w:lang w:eastAsia="zh-CN"/>
          <w14:textFill>
            <w14:solidFill>
              <w14:schemeClr w14:val="tx1"/>
            </w14:solidFill>
          </w14:textFill>
        </w:rPr>
        <w:t>（</w:t>
      </w:r>
      <w:r>
        <w:rPr>
          <w:rFonts w:ascii="宋体" w:hAnsi="宋体" w:eastAsia="宋体" w:cs="宋体"/>
          <w:color w:val="000000" w:themeColor="text1"/>
          <w:highlight w:val="none"/>
          <w:u w:val="single"/>
          <w:lang w:eastAsia="zh-CN"/>
          <w14:textFill>
            <w14:solidFill>
              <w14:schemeClr w14:val="tx1"/>
            </w14:solidFill>
          </w14:textFill>
        </w:rPr>
        <w:t>部件</w:t>
      </w:r>
      <w:r>
        <w:rPr>
          <w:rFonts w:hint="eastAsia" w:ascii="宋体" w:hAnsi="宋体" w:eastAsia="宋体" w:cs="宋体"/>
          <w:color w:val="000000" w:themeColor="text1"/>
          <w:highlight w:val="none"/>
          <w:u w:val="single"/>
          <w:lang w:eastAsia="zh-CN"/>
          <w14:textFill>
            <w14:solidFill>
              <w14:schemeClr w14:val="tx1"/>
            </w14:solidFill>
          </w14:textFill>
        </w:rPr>
        <w:t>）</w:t>
      </w:r>
      <w:r>
        <w:rPr>
          <w:rFonts w:ascii="宋体" w:hAnsi="宋体" w:eastAsia="宋体" w:cs="宋体"/>
          <w:color w:val="000000" w:themeColor="text1"/>
          <w:highlight w:val="none"/>
          <w:u w:val="single"/>
          <w:lang w:eastAsia="zh-CN"/>
          <w14:textFill>
            <w14:solidFill>
              <w14:schemeClr w14:val="tx1"/>
            </w14:solidFill>
          </w14:textFill>
        </w:rPr>
        <w:t>，或用符合</w:t>
      </w:r>
      <w:r>
        <w:rPr>
          <w:rFonts w:hint="eastAsia" w:ascii="宋体" w:hAnsi="宋体" w:eastAsia="宋体" w:cs="宋体"/>
          <w:color w:val="000000" w:themeColor="text1"/>
          <w:highlight w:val="none"/>
          <w:u w:val="single"/>
          <w:lang w:eastAsia="zh-CN"/>
          <w14:textFill>
            <w14:solidFill>
              <w14:schemeClr w14:val="tx1"/>
            </w14:solidFill>
          </w14:textFill>
        </w:rPr>
        <w:t>协议</w:t>
      </w:r>
      <w:r>
        <w:rPr>
          <w:rFonts w:ascii="宋体" w:hAnsi="宋体" w:eastAsia="宋体" w:cs="宋体"/>
          <w:color w:val="000000" w:themeColor="text1"/>
          <w:highlight w:val="none"/>
          <w:u w:val="single"/>
          <w:lang w:eastAsia="zh-CN"/>
          <w14:textFill>
            <w14:solidFill>
              <w14:schemeClr w14:val="tx1"/>
            </w14:solidFill>
          </w14:textFill>
        </w:rPr>
        <w:t>规定的规格﹑质量和性能的新零件更换，乙方承担所有直接相关费用</w:t>
      </w:r>
      <w:r>
        <w:rPr>
          <w:rFonts w:hint="eastAsia"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对</w:t>
      </w:r>
      <w:r>
        <w:rPr>
          <w:rFonts w:ascii="宋体" w:hAnsi="宋体" w:eastAsia="宋体" w:cs="宋体"/>
          <w:color w:val="000000" w:themeColor="text1"/>
          <w:highlight w:val="none"/>
          <w:u w:val="single"/>
          <w:lang w:eastAsia="zh-CN"/>
          <w14:textFill>
            <w14:solidFill>
              <w14:schemeClr w14:val="tx1"/>
            </w14:solidFill>
          </w14:textFill>
        </w:rPr>
        <w:t>更换产品</w:t>
      </w:r>
      <w:r>
        <w:rPr>
          <w:rFonts w:hint="eastAsia" w:ascii="宋体" w:hAnsi="宋体" w:eastAsia="宋体" w:cs="宋体"/>
          <w:color w:val="000000" w:themeColor="text1"/>
          <w:highlight w:val="none"/>
          <w:u w:val="single"/>
          <w:lang w:eastAsia="zh-CN"/>
          <w14:textFill>
            <w14:solidFill>
              <w14:schemeClr w14:val="tx1"/>
            </w14:solidFill>
          </w14:textFill>
        </w:rPr>
        <w:t>按</w:t>
      </w:r>
      <w:r>
        <w:rPr>
          <w:rFonts w:hint="eastAsia" w:ascii="宋体" w:hAnsi="宋体" w:eastAsia="宋体" w:cs="宋体"/>
          <w:color w:val="000000" w:themeColor="text1"/>
          <w:highlight w:val="none"/>
          <w:u w:val="single"/>
          <w:lang w:val="en-US" w:eastAsia="zh-CN"/>
          <w14:textFill>
            <w14:solidFill>
              <w14:schemeClr w14:val="tx1"/>
            </w14:solidFill>
          </w14:textFill>
        </w:rPr>
        <w:t>本协议8.5条约定的质保期重新计算</w:t>
      </w:r>
      <w:r>
        <w:rPr>
          <w:rFonts w:ascii="宋体" w:hAnsi="宋体" w:eastAsia="宋体" w:cs="宋体"/>
          <w:color w:val="000000" w:themeColor="text1"/>
          <w:highlight w:val="none"/>
          <w:u w:val="singl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4</w:t>
      </w:r>
      <w:r>
        <w:rPr>
          <w:rFonts w:ascii="宋体" w:hAnsi="宋体" w:eastAsia="宋体" w:cs="宋体"/>
          <w:color w:val="000000" w:themeColor="text1"/>
          <w:highlight w:val="none"/>
          <w:u w:val="single"/>
          <w:lang w:eastAsia="zh-CN"/>
          <w14:textFill>
            <w14:solidFill>
              <w14:schemeClr w14:val="tx1"/>
            </w14:solidFill>
          </w14:textFill>
        </w:rPr>
        <w:t>）甲方有权</w:t>
      </w:r>
      <w:r>
        <w:rPr>
          <w:rFonts w:hint="eastAsia" w:ascii="宋体" w:hAnsi="宋体" w:eastAsia="宋体" w:cs="宋体"/>
          <w:color w:val="000000" w:themeColor="text1"/>
          <w:highlight w:val="none"/>
          <w:u w:val="single"/>
          <w:lang w:val="en-US" w:eastAsia="zh-CN"/>
          <w14:textFill>
            <w14:solidFill>
              <w14:schemeClr w14:val="tx1"/>
            </w14:solidFill>
          </w14:textFill>
        </w:rPr>
        <w:t>单方</w:t>
      </w:r>
      <w:r>
        <w:rPr>
          <w:rFonts w:ascii="宋体" w:hAnsi="宋体" w:eastAsia="宋体" w:cs="宋体"/>
          <w:color w:val="000000" w:themeColor="text1"/>
          <w:highlight w:val="none"/>
          <w:u w:val="single"/>
          <w:lang w:eastAsia="zh-CN"/>
          <w14:textFill>
            <w14:solidFill>
              <w14:schemeClr w14:val="tx1"/>
            </w14:solidFill>
          </w14:textFill>
        </w:rPr>
        <w:t>解除</w:t>
      </w:r>
      <w:r>
        <w:rPr>
          <w:rFonts w:hint="eastAsia" w:ascii="宋体" w:hAnsi="宋体" w:eastAsia="宋体" w:cs="宋体"/>
          <w:color w:val="000000" w:themeColor="text1"/>
          <w:highlight w:val="none"/>
          <w:u w:val="single"/>
          <w:lang w:eastAsia="zh-CN"/>
          <w14:textFill>
            <w14:solidFill>
              <w14:schemeClr w14:val="tx1"/>
            </w14:solidFill>
          </w14:textFill>
        </w:rPr>
        <w:t>协议，</w:t>
      </w:r>
      <w:r>
        <w:rPr>
          <w:rFonts w:ascii="宋体" w:hAnsi="宋体" w:eastAsia="宋体" w:cs="宋体"/>
          <w:color w:val="000000" w:themeColor="text1"/>
          <w:highlight w:val="none"/>
          <w:u w:val="single"/>
          <w:lang w:eastAsia="zh-CN"/>
          <w14:textFill>
            <w14:solidFill>
              <w14:schemeClr w14:val="tx1"/>
            </w14:solidFill>
          </w14:textFill>
        </w:rPr>
        <w:t>本</w:t>
      </w:r>
      <w:r>
        <w:rPr>
          <w:rFonts w:hint="eastAsia" w:ascii="宋体" w:hAnsi="宋体" w:eastAsia="宋体" w:cs="宋体"/>
          <w:color w:val="000000" w:themeColor="text1"/>
          <w:highlight w:val="none"/>
          <w:u w:val="single"/>
          <w:lang w:val="en-US" w:eastAsia="zh-CN"/>
          <w14:textFill>
            <w14:solidFill>
              <w14:schemeClr w14:val="tx1"/>
            </w14:solidFill>
          </w14:textFill>
        </w:rPr>
        <w:t>协议</w:t>
      </w:r>
      <w:r>
        <w:rPr>
          <w:rFonts w:ascii="宋体" w:hAnsi="宋体" w:eastAsia="宋体" w:cs="宋体"/>
          <w:color w:val="000000" w:themeColor="text1"/>
          <w:highlight w:val="none"/>
          <w:u w:val="single"/>
          <w:lang w:eastAsia="zh-CN"/>
          <w14:textFill>
            <w14:solidFill>
              <w14:schemeClr w14:val="tx1"/>
            </w14:solidFill>
          </w14:textFill>
        </w:rPr>
        <w:t>自甲方解除</w:t>
      </w:r>
      <w:r>
        <w:rPr>
          <w:rFonts w:hint="eastAsia" w:ascii="宋体" w:hAnsi="宋体" w:eastAsia="宋体" w:cs="宋体"/>
          <w:color w:val="000000" w:themeColor="text1"/>
          <w:highlight w:val="none"/>
          <w:u w:val="single"/>
          <w:lang w:eastAsia="zh-CN"/>
          <w14:textFill>
            <w14:solidFill>
              <w14:schemeClr w14:val="tx1"/>
            </w14:solidFill>
          </w14:textFill>
        </w:rPr>
        <w:t>协议</w:t>
      </w:r>
      <w:r>
        <w:rPr>
          <w:rFonts w:ascii="宋体" w:hAnsi="宋体" w:eastAsia="宋体" w:cs="宋体"/>
          <w:color w:val="000000" w:themeColor="text1"/>
          <w:highlight w:val="none"/>
          <w:u w:val="single"/>
          <w:lang w:eastAsia="zh-CN"/>
          <w14:textFill>
            <w14:solidFill>
              <w14:schemeClr w14:val="tx1"/>
            </w14:solidFill>
          </w14:textFill>
        </w:rPr>
        <w:t>通知送达乙方时解除。</w:t>
      </w:r>
    </w:p>
    <w:p>
      <w:pPr>
        <w:pStyle w:val="2"/>
        <w:ind w:firstLine="420" w:firstLineChars="200"/>
        <w:rPr>
          <w:rFonts w:hint="eastAsia"/>
        </w:rPr>
      </w:pPr>
      <w:r>
        <w:rPr>
          <w:rFonts w:hint="eastAsia" w:ascii="宋体" w:hAnsi="宋体" w:eastAsia="宋体" w:cs="宋体"/>
          <w:color w:val="000000" w:themeColor="text1"/>
          <w:sz w:val="21"/>
          <w:szCs w:val="22"/>
          <w:highlight w:val="none"/>
          <w:lang w:val="en-US" w:eastAsia="zh-CN" w:bidi="ar-SA"/>
          <w14:textFill>
            <w14:solidFill>
              <w14:schemeClr w14:val="tx1"/>
            </w14:solidFill>
          </w14:textFill>
        </w:rPr>
        <w:t>8.9需特别约定的产品验收、检验与救济方式</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hAnsi="宋体" w:cs="宋体"/>
          <w:color w:val="000000" w:themeColor="text1"/>
          <w:highlight w:val="yellow"/>
          <w:lang w:val="en-US" w:eastAsia="zh-CN"/>
          <w14:textFill>
            <w14:solidFill>
              <w14:schemeClr w14:val="tx1"/>
            </w14:solidFill>
          </w14:textFill>
        </w:rPr>
        <w:t>无</w:t>
      </w:r>
      <w:r>
        <w:rPr>
          <w:rFonts w:hint="eastAsia" w:ascii="宋体" w:hAnsi="宋体" w:eastAsia="宋体" w:cs="宋体"/>
          <w:color w:val="000000" w:themeColor="text1"/>
          <w:sz w:val="21"/>
          <w:szCs w:val="22"/>
          <w:highlight w:val="none"/>
          <w:u w:val="single"/>
          <w:lang w:val="en-US" w:eastAsia="zh-CN" w:bidi="ar-SA"/>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第九条 产品价格形式及结算方式</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9</w:t>
      </w:r>
      <w:r>
        <w:rPr>
          <w:rFonts w:hint="eastAsia"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产品价格形式</w:t>
      </w:r>
      <w:r>
        <w:rPr>
          <w:rFonts w:hint="eastAsia" w:ascii="宋体" w:hAnsi="宋体" w:eastAsia="宋体" w:cs="宋体"/>
          <w:color w:val="000000" w:themeColor="text1"/>
          <w:highlight w:val="none"/>
          <w:lang w:eastAsia="zh-CN"/>
          <w14:textFill>
            <w14:solidFill>
              <w14:schemeClr w14:val="tx1"/>
            </w14:solidFill>
          </w14:textFill>
        </w:rPr>
        <w:t>(二选一,条款根据采购结果确定)</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zh-CN"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sym w:font="Wingdings 2" w:char="0052"/>
      </w:r>
      <w:r>
        <w:rPr>
          <w:rFonts w:hint="eastAsia" w:ascii="宋体" w:hAnsi="宋体" w:eastAsia="宋体" w:cs="宋体"/>
          <w:color w:val="000000" w:themeColor="text1"/>
          <w:highlight w:val="none"/>
          <w:lang w:val="zh-CN" w:eastAsia="zh-CN"/>
          <w14:textFill>
            <w14:solidFill>
              <w14:schemeClr w14:val="tx1"/>
            </w14:solidFill>
          </w14:textFill>
        </w:rPr>
        <w:t>（打“√”）固定价。协议期限内，</w:t>
      </w:r>
      <w:r>
        <w:rPr>
          <w:rFonts w:hint="eastAsia" w:ascii="宋体" w:hAnsi="宋体" w:eastAsia="宋体" w:cs="宋体"/>
          <w:color w:val="000000" w:themeColor="text1"/>
          <w:highlight w:val="none"/>
          <w:lang w:val="en-US" w:eastAsia="zh-CN"/>
          <w14:textFill>
            <w14:solidFill>
              <w14:schemeClr w14:val="tx1"/>
            </w14:solidFill>
          </w14:textFill>
        </w:rPr>
        <w:t>以本协议4</w:t>
      </w:r>
      <w:r>
        <w:rPr>
          <w:rFonts w:hint="eastAsia"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条</w:t>
      </w:r>
      <w:r>
        <w:rPr>
          <w:rFonts w:hint="eastAsia" w:ascii="宋体" w:hAnsi="宋体" w:eastAsia="宋体" w:cs="宋体"/>
          <w:color w:val="000000" w:themeColor="text1"/>
          <w:highlight w:val="none"/>
          <w:lang w:eastAsia="zh-CN"/>
          <w14:textFill>
            <w14:solidFill>
              <w14:schemeClr w14:val="tx1"/>
            </w14:solidFill>
          </w14:textFill>
        </w:rPr>
        <w:t>列明</w:t>
      </w:r>
      <w:r>
        <w:rPr>
          <w:rFonts w:hint="eastAsia" w:ascii="宋体" w:hAnsi="宋体" w:eastAsia="宋体" w:cs="宋体"/>
          <w:color w:val="000000" w:themeColor="text1"/>
          <w:highlight w:val="none"/>
          <w:lang w:val="zh-CN" w:eastAsia="zh-CN"/>
          <w14:textFill>
            <w14:solidFill>
              <w14:schemeClr w14:val="tx1"/>
            </w14:solidFill>
          </w14:textFill>
        </w:rPr>
        <w:t>协议价</w:t>
      </w:r>
      <w:r>
        <w:rPr>
          <w:rFonts w:hint="eastAsia" w:ascii="宋体" w:hAnsi="宋体" w:eastAsia="宋体" w:cs="宋体"/>
          <w:color w:val="000000" w:themeColor="text1"/>
          <w:highlight w:val="none"/>
          <w:lang w:val="en-US" w:eastAsia="zh-CN"/>
          <w14:textFill>
            <w14:solidFill>
              <w14:schemeClr w14:val="tx1"/>
            </w14:solidFill>
          </w14:textFill>
        </w:rPr>
        <w:t>为准</w:t>
      </w:r>
      <w:r>
        <w:rPr>
          <w:rFonts w:hint="eastAsia" w:ascii="宋体" w:hAnsi="宋体" w:eastAsia="宋体" w:cs="宋体"/>
          <w:color w:val="000000" w:themeColor="text1"/>
          <w:highlight w:val="none"/>
          <w:lang w:val="zh-CN"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但</w:t>
      </w:r>
      <w:r>
        <w:rPr>
          <w:rFonts w:hint="eastAsia" w:ascii="宋体" w:hAnsi="宋体" w:eastAsia="宋体" w:cs="宋体"/>
          <w:color w:val="000000" w:themeColor="text1"/>
          <w:highlight w:val="none"/>
          <w:lang w:val="zh-CN" w:eastAsia="zh-CN"/>
          <w14:textFill>
            <w14:solidFill>
              <w14:schemeClr w14:val="tx1"/>
            </w14:solidFill>
          </w14:textFill>
        </w:rPr>
        <w:t>降价调整</w:t>
      </w:r>
      <w:r>
        <w:rPr>
          <w:rFonts w:hint="eastAsia" w:ascii="宋体" w:hAnsi="宋体" w:eastAsia="宋体" w:cs="宋体"/>
          <w:color w:val="000000" w:themeColor="text1"/>
          <w:highlight w:val="none"/>
          <w:lang w:val="en-US" w:eastAsia="zh-CN"/>
          <w14:textFill>
            <w14:solidFill>
              <w14:schemeClr w14:val="tx1"/>
            </w14:solidFill>
          </w14:textFill>
        </w:rPr>
        <w:t>的除外</w:t>
      </w:r>
      <w:r>
        <w:rPr>
          <w:rFonts w:hint="eastAsia" w:ascii="宋体" w:hAnsi="宋体" w:eastAsia="宋体" w:cs="宋体"/>
          <w:color w:val="000000" w:themeColor="text1"/>
          <w:highlight w:val="none"/>
          <w:lang w:val="zh-CN"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sym w:font="Wingdings 2" w:char="00A3"/>
      </w:r>
      <w:r>
        <w:rPr>
          <w:rFonts w:hint="eastAsia" w:ascii="宋体" w:hAnsi="宋体" w:eastAsia="宋体" w:cs="宋体"/>
          <w:color w:val="000000" w:themeColor="text1"/>
          <w:highlight w:val="none"/>
          <w:lang w:val="zh-CN" w:eastAsia="zh-CN"/>
          <w14:textFill>
            <w14:solidFill>
              <w14:schemeClr w14:val="tx1"/>
            </w14:solidFill>
          </w14:textFill>
        </w:rPr>
        <w:t>（打“√”）可调价</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zh-CN" w:eastAsia="zh-CN"/>
          <w14:textFill>
            <w14:solidFill>
              <w14:schemeClr w14:val="tx1"/>
            </w14:solidFill>
          </w14:textFill>
        </w:rPr>
        <w:t>协议期限内协议价按照价格调整方案进行调整（价格调整方案</w:t>
      </w:r>
      <w:r>
        <w:rPr>
          <w:rFonts w:hint="eastAsia" w:ascii="宋体" w:hAnsi="宋体" w:eastAsia="宋体" w:cs="宋体"/>
          <w:color w:val="000000" w:themeColor="text1"/>
          <w:highlight w:val="none"/>
          <w:lang w:val="en-US" w:eastAsia="zh-CN"/>
          <w14:textFill>
            <w14:solidFill>
              <w14:schemeClr w14:val="tx1"/>
            </w14:solidFill>
          </w14:textFill>
        </w:rPr>
        <w:t>包括双方确认后的</w:t>
      </w:r>
      <w:r>
        <w:rPr>
          <w:rFonts w:hint="eastAsia" w:ascii="宋体" w:hAnsi="宋体" w:eastAsia="宋体" w:cs="宋体"/>
          <w:color w:val="000000" w:themeColor="text1"/>
          <w:highlight w:val="none"/>
          <w:lang w:val="zh-CN" w:eastAsia="zh-CN"/>
          <w14:textFill>
            <w14:solidFill>
              <w14:schemeClr w14:val="tx1"/>
            </w14:solidFill>
          </w14:textFill>
        </w:rPr>
        <w:t>执行方案或</w:t>
      </w:r>
      <w:r>
        <w:rPr>
          <w:rFonts w:hint="eastAsia" w:ascii="宋体" w:hAnsi="宋体" w:eastAsia="宋体" w:cs="宋体"/>
          <w:color w:val="000000" w:themeColor="text1"/>
          <w:highlight w:val="none"/>
          <w:lang w:val="en-US" w:eastAsia="zh-CN"/>
          <w14:textFill>
            <w14:solidFill>
              <w14:schemeClr w14:val="tx1"/>
            </w14:solidFill>
          </w14:textFill>
        </w:rPr>
        <w:t>采购文件</w:t>
      </w:r>
      <w:r>
        <w:rPr>
          <w:rFonts w:hint="eastAsia" w:ascii="宋体" w:hAnsi="宋体" w:eastAsia="宋体" w:cs="宋体"/>
          <w:color w:val="000000" w:themeColor="text1"/>
          <w:highlight w:val="none"/>
          <w:lang w:val="zh-CN" w:eastAsia="zh-CN"/>
          <w14:textFill>
            <w14:solidFill>
              <w14:schemeClr w14:val="tx1"/>
            </w14:solidFill>
          </w14:textFill>
        </w:rPr>
        <w:t>联动规则等）。</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9</w:t>
      </w:r>
      <w:r>
        <w:rPr>
          <w:rFonts w:hint="eastAsia" w:ascii="宋体" w:hAnsi="宋体" w:eastAsia="宋体" w:cs="宋体"/>
          <w:color w:val="000000" w:themeColor="text1"/>
          <w:highlight w:val="none"/>
          <w:lang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结算方式</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bookmarkStart w:id="0" w:name="_GoBack"/>
      <w:r>
        <w:rPr>
          <w:rFonts w:hint="eastAsia" w:ascii="宋体" w:hAnsi="宋体" w:eastAsia="宋体" w:cs="宋体"/>
          <w:color w:val="000000" w:themeColor="text1"/>
          <w:highlight w:val="yellow"/>
          <w:u w:val="single"/>
          <w:lang w:val="en-US" w:eastAsia="zh-CN"/>
          <w14:textFill>
            <w14:solidFill>
              <w14:schemeClr w14:val="tx1"/>
            </w14:solidFill>
          </w14:textFill>
        </w:rPr>
        <w:t>货到验收合格，发票入账次月起第3个月支付30%，第11个月支付60%，一年内无质量异议，第13个月支付10%质保金，一年内有质量问题未能解决,质保金不予支付。付款方式为承兑汇票</w:t>
      </w:r>
      <w:bookmarkEnd w:id="0"/>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第十条 违约责任</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10.1延迟</w:t>
      </w:r>
      <w:r>
        <w:rPr>
          <w:rFonts w:ascii="宋体" w:hAnsi="宋体" w:eastAsia="宋体" w:cs="宋体"/>
          <w:color w:val="000000" w:themeColor="text1"/>
          <w:highlight w:val="none"/>
          <w:lang w:eastAsia="zh-CN"/>
          <w14:textFill>
            <w14:solidFill>
              <w14:schemeClr w14:val="tx1"/>
            </w14:solidFill>
          </w14:textFill>
        </w:rPr>
        <w:t>交货。乙方未按</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约定的时间交货，每逾期</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1天</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ascii="宋体" w:hAnsi="宋体" w:eastAsia="宋体" w:cs="宋体"/>
          <w:color w:val="000000" w:themeColor="text1"/>
          <w:highlight w:val="none"/>
          <w:lang w:eastAsia="zh-CN"/>
          <w14:textFill>
            <w14:solidFill>
              <w14:schemeClr w14:val="tx1"/>
            </w14:solidFill>
          </w14:textFill>
        </w:rPr>
        <w:t>，应向甲方支付延迟</w:t>
      </w:r>
      <w:r>
        <w:rPr>
          <w:rFonts w:hint="eastAsia" w:ascii="宋体" w:hAnsi="宋体" w:eastAsia="宋体" w:cs="宋体"/>
          <w:color w:val="000000" w:themeColor="text1"/>
          <w:highlight w:val="none"/>
          <w:lang w:val="en-US" w:eastAsia="zh-CN"/>
          <w14:textFill>
            <w14:solidFill>
              <w14:schemeClr w14:val="tx1"/>
            </w14:solidFill>
          </w14:textFill>
        </w:rPr>
        <w:t>交货部分货物总</w:t>
      </w:r>
      <w:r>
        <w:rPr>
          <w:rFonts w:ascii="宋体" w:hAnsi="宋体" w:eastAsia="宋体" w:cs="宋体"/>
          <w:color w:val="000000" w:themeColor="text1"/>
          <w:highlight w:val="none"/>
          <w:lang w:eastAsia="zh-CN"/>
          <w14:textFill>
            <w14:solidFill>
              <w14:schemeClr w14:val="tx1"/>
            </w14:solidFill>
          </w14:textFill>
        </w:rPr>
        <w:t>金额的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ascii="宋体" w:hAnsi="宋体" w:eastAsia="宋体" w:cs="宋体"/>
          <w:i w:val="0"/>
          <w:caps w:val="0"/>
          <w:color w:val="444444"/>
          <w:spacing w:val="0"/>
          <w:sz w:val="27"/>
          <w:szCs w:val="27"/>
          <w:highlight w:val="yellow"/>
          <w:u w:val="single"/>
          <w:shd w:val="clear" w:fill="FFFFFF"/>
        </w:rPr>
        <w:t>1‰</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ascii="宋体" w:hAnsi="宋体" w:eastAsia="宋体" w:cs="宋体"/>
          <w:color w:val="000000" w:themeColor="text1"/>
          <w:highlight w:val="none"/>
          <w:lang w:eastAsia="zh-CN"/>
          <w14:textFill>
            <w14:solidFill>
              <w14:schemeClr w14:val="tx1"/>
            </w14:solidFill>
          </w14:textFill>
        </w:rPr>
        <w:t>违约金，未按期交付超过30日以上的</w:t>
      </w:r>
      <w:r>
        <w:rPr>
          <w:rFonts w:hint="eastAsia" w:ascii="宋体" w:hAnsi="宋体" w:eastAsia="宋体" w:cs="宋体"/>
          <w:color w:val="000000" w:themeColor="text1"/>
          <w:highlight w:val="none"/>
          <w:lang w:eastAsia="zh-CN"/>
          <w14:textFill>
            <w14:solidFill>
              <w14:schemeClr w14:val="tx1"/>
            </w14:solidFill>
          </w14:textFill>
        </w:rPr>
        <w:t>，视为拒不交货或不能交货</w:t>
      </w:r>
      <w:r>
        <w:rPr>
          <w:rFonts w:ascii="宋体" w:hAnsi="宋体" w:eastAsia="宋体" w:cs="宋体"/>
          <w:color w:val="000000" w:themeColor="text1"/>
          <w:highlight w:val="none"/>
          <w:lang w:eastAsia="zh-CN"/>
          <w14:textFill>
            <w14:solidFill>
              <w14:schemeClr w14:val="tx1"/>
            </w14:solidFill>
          </w14:textFill>
        </w:rPr>
        <w:t>，甲方有权单方解除本</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并要求乙方按照本协议总额的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10%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支付违约金及因此给甲方造成的全部损失（包括但不限于另行采购的差价损失）。</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已缴纳履约保证金的，乙方不履行协议约定的义务或其履行不符合协议的约定时，甲方有权扣除全部履约保证金。</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10</w:t>
      </w:r>
      <w:r>
        <w:rPr>
          <w:rFonts w:hint="eastAsia" w:ascii="宋体" w:hAnsi="宋体" w:eastAsia="宋体" w:cs="宋体"/>
          <w:color w:val="000000" w:themeColor="text1"/>
          <w:highlight w:val="none"/>
          <w:lang w:eastAsia="zh-CN"/>
          <w14:textFill>
            <w14:solidFill>
              <w14:schemeClr w14:val="tx1"/>
            </w14:solidFill>
          </w14:textFill>
        </w:rPr>
        <w:t>.3需特别约定的违约责任：</w:t>
      </w:r>
      <w:r>
        <w:rPr>
          <w:rFonts w:hint="eastAsia" w:ascii="宋体" w:hAnsi="宋体" w:eastAsia="宋体" w:cs="宋体"/>
          <w:color w:val="000000" w:themeColor="text1"/>
          <w:highlight w:val="yellow"/>
          <w:u w:val="single"/>
          <w:lang w:val="en-US" w:eastAsia="zh-CN"/>
          <w14:textFill>
            <w14:solidFill>
              <w14:schemeClr w14:val="tx1"/>
            </w14:solidFill>
          </w14:textFill>
        </w:rPr>
        <w:t>无</w:t>
      </w:r>
      <w:r>
        <w:rPr>
          <w:rFonts w:ascii="宋体" w:hAnsi="宋体" w:eastAsia="宋体" w:cs="宋体"/>
          <w:i w:val="0"/>
          <w:iCs w:val="0"/>
          <w:caps w:val="0"/>
          <w:color w:val="444444"/>
          <w:spacing w:val="0"/>
          <w:sz w:val="27"/>
          <w:szCs w:val="27"/>
          <w:shd w:val="clear" w:fill="FFFFFF"/>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第十一条 知识产权</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.1</w:t>
      </w:r>
      <w:r>
        <w:rPr>
          <w:rFonts w:ascii="宋体" w:hAnsi="宋体" w:eastAsia="宋体" w:cs="宋体"/>
          <w:color w:val="000000" w:themeColor="text1"/>
          <w:highlight w:val="none"/>
          <w:lang w:eastAsia="zh-CN"/>
          <w14:textFill>
            <w14:solidFill>
              <w14:schemeClr w14:val="tx1"/>
            </w14:solidFill>
          </w14:textFill>
        </w:rPr>
        <w:t>乙方须保证甲方及</w:t>
      </w:r>
      <w:r>
        <w:rPr>
          <w:rFonts w:hint="eastAsia" w:ascii="宋体" w:hAnsi="宋体" w:eastAsia="宋体" w:cs="宋体"/>
          <w:color w:val="000000" w:themeColor="text1"/>
          <w:highlight w:val="none"/>
          <w:lang w:eastAsia="zh-CN"/>
          <w14:textFill>
            <w14:solidFill>
              <w14:schemeClr w14:val="tx1"/>
            </w14:solidFill>
          </w14:textFill>
        </w:rPr>
        <w:t>终端使用方</w:t>
      </w:r>
      <w:r>
        <w:rPr>
          <w:rFonts w:ascii="宋体" w:hAnsi="宋体" w:eastAsia="宋体" w:cs="宋体"/>
          <w:color w:val="000000" w:themeColor="text1"/>
          <w:highlight w:val="none"/>
          <w:lang w:eastAsia="zh-CN"/>
          <w14:textFill>
            <w14:solidFill>
              <w14:schemeClr w14:val="tx1"/>
            </w14:solidFill>
          </w14:textFill>
        </w:rPr>
        <w:t>使用产品、服务等任何部分不侵犯第三方关于专利权、商标权、著作权等知识产权或工业设计等方面的合法权利，与该产品或服务有关的任何纠纷，均由乙方负责处理并承担责任，甲方不承担任何责任和费用，因此造成甲方损失的，乙方承担全部赔偿责任。</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第十二条 产品服务与保证</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1产品服务</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乙方应配备充足的技术人员，并根据甲方要求，通过进行电话联系或派遣技术熟练、称职的技术人员</w:t>
      </w:r>
      <w:r>
        <w:rPr>
          <w:rFonts w:hint="eastAsia" w:ascii="宋体" w:hAnsi="宋体" w:eastAsia="宋体" w:cs="宋体"/>
          <w:color w:val="000000" w:themeColor="text1"/>
          <w:highlight w:val="none"/>
          <w:lang w:val="en-US" w:eastAsia="zh-CN"/>
          <w14:textFill>
            <w14:solidFill>
              <w14:schemeClr w14:val="tx1"/>
            </w14:solidFill>
          </w14:textFill>
        </w:rPr>
        <w:t>及时</w:t>
      </w:r>
      <w:r>
        <w:rPr>
          <w:rFonts w:ascii="宋体" w:hAnsi="宋体" w:eastAsia="宋体" w:cs="宋体"/>
          <w:color w:val="000000" w:themeColor="text1"/>
          <w:highlight w:val="none"/>
          <w:lang w:eastAsia="zh-CN"/>
          <w14:textFill>
            <w14:solidFill>
              <w14:schemeClr w14:val="tx1"/>
            </w14:solidFill>
          </w14:textFill>
        </w:rPr>
        <w:t>到现场提供服务。如果乙方技术人员不合格，甲方有权要求乙方撤换。甲方为乙方技术人员提供工作条件及便利，包括但不限于必要的办公场所及出入许可等。</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2 保证</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2.1履约保证。</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sym w:font="Wingdings 2" w:char="00A3"/>
      </w:r>
      <w:r>
        <w:rPr>
          <w:rFonts w:hint="eastAsia" w:ascii="宋体" w:hAnsi="宋体" w:eastAsia="宋体" w:cs="宋体"/>
          <w:color w:val="000000" w:themeColor="text1"/>
          <w:highlight w:val="none"/>
          <w:lang w:val="zh-CN" w:eastAsia="zh-CN"/>
          <w14:textFill>
            <w14:solidFill>
              <w14:schemeClr w14:val="tx1"/>
            </w14:solidFill>
          </w14:textFill>
        </w:rPr>
        <w:t>（打“√”）</w:t>
      </w:r>
      <w:r>
        <w:rPr>
          <w:rFonts w:hint="eastAsia" w:ascii="宋体" w:hAnsi="宋体" w:eastAsia="宋体" w:cs="宋体"/>
          <w:color w:val="000000" w:themeColor="text1"/>
          <w:highlight w:val="none"/>
          <w:lang w:val="en-US" w:eastAsia="zh-CN"/>
          <w14:textFill>
            <w14:solidFill>
              <w14:schemeClr w14:val="tx1"/>
            </w14:solidFill>
          </w14:textFill>
        </w:rPr>
        <w:t>产品需要</w:t>
      </w:r>
      <w:r>
        <w:rPr>
          <w:rFonts w:hint="eastAsia" w:ascii="宋体" w:hAnsi="宋体" w:eastAsia="宋体" w:cs="宋体"/>
          <w:color w:val="auto"/>
          <w:highlight w:val="none"/>
          <w:lang w:val="en-US" w:eastAsia="zh-CN"/>
        </w:rPr>
        <w:t>缴纳履约保证金。乙方在协议签订前向甲方交纳</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ascii="宋体" w:hAnsi="宋体" w:eastAsia="宋体" w:cs="宋体"/>
          <w:i w:val="0"/>
          <w:caps w:val="0"/>
          <w:color w:val="444444"/>
          <w:spacing w:val="0"/>
          <w:sz w:val="27"/>
          <w:szCs w:val="27"/>
          <w:highlight w:val="yellow"/>
          <w:u w:val="single"/>
          <w:shd w:val="clear" w:fill="FFFFFF"/>
        </w:rPr>
        <w:t>/</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元，保证金的担保责任自本协议生效之日起成立，待协议履行完毕无违约问题，一次性无息返还。</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sym w:font="Wingdings 2" w:char="0052"/>
      </w:r>
      <w:r>
        <w:rPr>
          <w:rFonts w:hint="eastAsia" w:ascii="宋体" w:hAnsi="宋体" w:eastAsia="宋体" w:cs="宋体"/>
          <w:color w:val="000000" w:themeColor="text1"/>
          <w:highlight w:val="none"/>
          <w:lang w:val="zh-CN" w:eastAsia="zh-CN"/>
          <w14:textFill>
            <w14:solidFill>
              <w14:schemeClr w14:val="tx1"/>
            </w14:solidFill>
          </w14:textFill>
        </w:rPr>
        <w:t>（打“√”）</w:t>
      </w:r>
      <w:r>
        <w:rPr>
          <w:rFonts w:hint="eastAsia" w:ascii="宋体" w:hAnsi="宋体" w:eastAsia="宋体" w:cs="宋体"/>
          <w:color w:val="000000" w:themeColor="text1"/>
          <w:highlight w:val="none"/>
          <w:lang w:val="en-US" w:eastAsia="zh-CN"/>
          <w14:textFill>
            <w14:solidFill>
              <w14:schemeClr w14:val="tx1"/>
            </w14:solidFill>
          </w14:textFill>
        </w:rPr>
        <w:t>产品不需要缴纳履约保证金。</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2.2 扣款保证。本</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约定违约金或经济损失的赔偿款，甲方有权从乙方任意一笔货款或履约保证金中直接</w:t>
      </w:r>
      <w:r>
        <w:rPr>
          <w:rFonts w:hint="eastAsia" w:ascii="宋体" w:hAnsi="宋体" w:eastAsia="宋体" w:cs="宋体"/>
          <w:color w:val="000000" w:themeColor="text1"/>
          <w:highlight w:val="none"/>
          <w:lang w:val="en-US" w:eastAsia="zh-CN"/>
          <w14:textFill>
            <w14:solidFill>
              <w14:schemeClr w14:val="tx1"/>
            </w14:solidFill>
          </w14:textFill>
        </w:rPr>
        <w:t>扣除</w:t>
      </w:r>
      <w:r>
        <w:rPr>
          <w:rFonts w:ascii="宋体" w:hAnsi="宋体" w:eastAsia="宋体" w:cs="宋体"/>
          <w:color w:val="000000" w:themeColor="text1"/>
          <w:highlight w:val="none"/>
          <w:lang w:eastAsia="zh-CN"/>
          <w14:textFill>
            <w14:solidFill>
              <w14:schemeClr w14:val="tx1"/>
            </w14:solidFill>
          </w14:textFill>
        </w:rPr>
        <w:t>，不足部分由乙方现金补足。</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需特别约定的</w:t>
      </w:r>
      <w:r>
        <w:rPr>
          <w:rFonts w:ascii="宋体" w:hAnsi="宋体" w:eastAsia="宋体" w:cs="宋体"/>
          <w:color w:val="000000" w:themeColor="text1"/>
          <w:highlight w:val="none"/>
          <w:lang w:eastAsia="zh-CN"/>
          <w14:textFill>
            <w14:solidFill>
              <w14:schemeClr w14:val="tx1"/>
            </w14:solidFill>
          </w14:textFill>
        </w:rPr>
        <w:t>服务要求</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eastAsia="zh-CN"/>
          <w14:textFill>
            <w14:solidFill>
              <w14:schemeClr w14:val="tx1"/>
            </w14:solidFill>
          </w14:textFill>
        </w:rPr>
        <w:t>无</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第十三条 协议转让、变更、解除</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任何一方均不得</w:t>
      </w:r>
      <w:r>
        <w:rPr>
          <w:rFonts w:hint="eastAsia" w:ascii="宋体" w:hAnsi="宋体" w:eastAsia="宋体" w:cs="宋体"/>
          <w:color w:val="000000" w:themeColor="text1"/>
          <w:highlight w:val="none"/>
          <w:lang w:val="en-US" w:eastAsia="zh-CN"/>
          <w14:textFill>
            <w14:solidFill>
              <w14:schemeClr w14:val="tx1"/>
            </w14:solidFill>
          </w14:textFill>
        </w:rPr>
        <w:t>擅自</w:t>
      </w:r>
      <w:r>
        <w:rPr>
          <w:rFonts w:ascii="宋体" w:hAnsi="宋体" w:eastAsia="宋体" w:cs="宋体"/>
          <w:color w:val="000000" w:themeColor="text1"/>
          <w:highlight w:val="none"/>
          <w:lang w:eastAsia="zh-CN"/>
          <w14:textFill>
            <w14:solidFill>
              <w14:schemeClr w14:val="tx1"/>
            </w14:solidFill>
          </w14:textFill>
        </w:rPr>
        <w:t>转让其在本</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项下的权利和义务。</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.2双方当事人协商一致，可以签订书面补充协议的形式变更</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.3有下述情形之一，当事人可发出书面通知全部或部分解除</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自通知到达对方时全部或部分解除：</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乙方因违反甲方《物资采购廉洁合同》约定事项和《物资分公司供应商管理办法》规定事项被停用、禁用时，甲方有权单方解除本协议；</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（2）协议</w:t>
      </w:r>
      <w:r>
        <w:rPr>
          <w:rFonts w:ascii="宋体" w:hAnsi="宋体" w:eastAsia="宋体" w:cs="宋体"/>
          <w:color w:val="000000" w:themeColor="text1"/>
          <w:highlight w:val="none"/>
          <w:lang w:eastAsia="zh-CN"/>
          <w14:textFill>
            <w14:solidFill>
              <w14:schemeClr w14:val="tx1"/>
            </w14:solidFill>
          </w14:textFill>
        </w:rPr>
        <w:t>一方当事人无法继续履行或明确表示不履行或实质上已停止履行</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）产品未能达到质量标准（技术要求）；</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一方当事人出现破产、清算、资不抵债、成为失信被执行人等可能丧失履约能力的情形；</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）因不可抗力不能实现</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目的。</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lang w:eastAsia="zh-CN"/>
          <w14:textFill>
            <w14:solidFill>
              <w14:schemeClr w14:val="tx1"/>
            </w14:solidFill>
          </w14:textFill>
        </w:rPr>
        <w:t>）其他导致协议解除的情形。</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第十四条 争议解决方式</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w:t>
      </w:r>
      <w:r>
        <w:rPr>
          <w:rFonts w:ascii="宋体" w:hAnsi="宋体" w:eastAsia="宋体" w:cs="宋体"/>
          <w:color w:val="000000" w:themeColor="text1"/>
          <w:highlight w:val="none"/>
          <w:lang w:eastAsia="zh-CN"/>
          <w14:textFill>
            <w14:solidFill>
              <w14:schemeClr w14:val="tx1"/>
            </w14:solidFill>
          </w14:textFill>
        </w:rPr>
        <w:t>1本</w:t>
      </w:r>
      <w:r>
        <w:rPr>
          <w:rFonts w:hint="eastAsia" w:ascii="宋体" w:hAnsi="宋体" w:eastAsia="宋体" w:cs="宋体"/>
          <w:color w:val="000000" w:themeColor="text1"/>
          <w:highlight w:val="none"/>
          <w:lang w:val="en-US"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在履行过程中发生的争议，由双方当事人协商解决</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协商不成的，依法向</w:t>
      </w:r>
      <w:r>
        <w:rPr>
          <w:rFonts w:hint="eastAsia" w:ascii="宋体" w:hAnsi="宋体" w:eastAsia="宋体" w:cs="宋体"/>
          <w:color w:val="000000" w:themeColor="text1"/>
          <w:highlight w:val="none"/>
          <w:lang w:val="en-US"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签订地人民法院起诉。</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第十五条 协议签订、生效、期限</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.1乙方应在采购文件规定的响应有效期内与甲方完成</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签订</w:t>
      </w:r>
      <w:r>
        <w:rPr>
          <w:rFonts w:hint="eastAsia"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2乙方投标（响应）文件内各项本应作拒绝处理的情形即便未被及时发现而使乙方进入初审、详细评审或其它后续程序，包括已经签约的情形，在任何时间被发现，甲方均有权决定是否取消乙方此前评议的结果或是否解除</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，并有权采取相应的补救或纠正措施</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乙方被取消此前评议结果或解除</w:t>
      </w:r>
      <w:r>
        <w:rPr>
          <w:rFonts w:hint="eastAsia" w:ascii="宋体" w:hAnsi="宋体" w:eastAsia="宋体" w:cs="宋体"/>
          <w:color w:val="000000" w:themeColor="text1"/>
          <w:highlight w:val="none"/>
          <w:lang w:eastAsia="zh-CN"/>
          <w14:textFill>
            <w14:solidFill>
              <w14:schemeClr w14:val="tx1"/>
            </w14:solidFill>
          </w14:textFill>
        </w:rPr>
        <w:t>协议的</w:t>
      </w:r>
      <w:r>
        <w:rPr>
          <w:rFonts w:ascii="宋体" w:hAnsi="宋体" w:eastAsia="宋体" w:cs="宋体"/>
          <w:color w:val="000000" w:themeColor="text1"/>
          <w:highlight w:val="none"/>
          <w:lang w:eastAsia="zh-CN"/>
          <w14:textFill>
            <w14:solidFill>
              <w14:schemeClr w14:val="tx1"/>
            </w14:solidFill>
          </w14:textFill>
        </w:rPr>
        <w:t>，相关的一切责任均由乙方自行承担。</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.3甲乙双方的开户银行、账号必须在本</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上注明，乙</w:t>
      </w:r>
      <w:r>
        <w:rPr>
          <w:rFonts w:hint="eastAsia" w:ascii="宋体" w:hAnsi="宋体" w:eastAsia="宋体" w:cs="宋体"/>
          <w:color w:val="000000" w:themeColor="text1"/>
          <w:highlight w:val="none"/>
          <w:lang w:val="en-US" w:eastAsia="zh-CN"/>
          <w14:textFill>
            <w14:solidFill>
              <w14:schemeClr w14:val="tx1"/>
            </w14:solidFill>
          </w14:textFill>
        </w:rPr>
        <w:t>方变更收款账户的，须经乙方书面确认并加盖公章及财务专用章。</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lang w:eastAsia="zh-CN"/>
          <w14:textFill>
            <w14:solidFill>
              <w14:schemeClr w14:val="tx1"/>
            </w14:solidFill>
          </w14:textFill>
        </w:rPr>
        <w:t>本协议自双方加盖</w:t>
      </w:r>
      <w:r>
        <w:rPr>
          <w:rFonts w:hint="eastAsia" w:ascii="宋体" w:hAnsi="宋体" w:eastAsia="宋体" w:cs="宋体"/>
          <w:color w:val="000000" w:themeColor="text1"/>
          <w:highlight w:val="none"/>
          <w:u w:val="single"/>
          <w:lang w:eastAsia="zh-CN"/>
          <w14:textFill>
            <w14:solidFill>
              <w14:schemeClr w14:val="tx1"/>
            </w14:solidFill>
          </w14:textFill>
        </w:rPr>
        <w:t>经北京天威诚信数字认证中心认证且在淮北矿业电子商务采购平台授权使用的电子签章</w:t>
      </w:r>
      <w:r>
        <w:rPr>
          <w:rFonts w:hint="eastAsia" w:ascii="宋体" w:hAnsi="宋体" w:eastAsia="宋体" w:cs="宋体"/>
          <w:color w:val="000000" w:themeColor="text1"/>
          <w:highlight w:val="none"/>
          <w:lang w:eastAsia="zh-CN"/>
          <w14:textFill>
            <w14:solidFill>
              <w14:schemeClr w14:val="tx1"/>
            </w14:solidFill>
          </w14:textFill>
        </w:rPr>
        <w:t>之日起生效。本协议一式</w:t>
      </w:r>
      <w:r>
        <w:rPr>
          <w:rFonts w:hint="eastAsia" w:ascii="宋体" w:hAnsi="宋体" w:eastAsia="宋体" w:cs="宋体"/>
          <w:color w:val="000000" w:themeColor="text1"/>
          <w:highlight w:val="none"/>
          <w:u w:val="single"/>
          <w:lang w:eastAsia="zh-CN"/>
          <w14:textFill>
            <w14:solidFill>
              <w14:schemeClr w14:val="tx1"/>
            </w14:solidFill>
          </w14:textFill>
        </w:rPr>
        <w:t>叄</w:t>
      </w:r>
      <w:r>
        <w:rPr>
          <w:rFonts w:hint="eastAsia" w:ascii="宋体" w:hAnsi="宋体" w:eastAsia="宋体" w:cs="宋体"/>
          <w:color w:val="000000" w:themeColor="text1"/>
          <w:highlight w:val="none"/>
          <w:lang w:eastAsia="zh-CN"/>
          <w14:textFill>
            <w14:solidFill>
              <w14:schemeClr w14:val="tx1"/>
            </w14:solidFill>
          </w14:textFill>
        </w:rPr>
        <w:t>份，乙方</w:t>
      </w:r>
      <w:r>
        <w:rPr>
          <w:rFonts w:hint="eastAsia" w:ascii="宋体" w:hAnsi="宋体" w:eastAsia="宋体" w:cs="宋体"/>
          <w:color w:val="000000" w:themeColor="text1"/>
          <w:highlight w:val="none"/>
          <w:u w:val="single"/>
          <w:lang w:eastAsia="zh-CN"/>
          <w14:textFill>
            <w14:solidFill>
              <w14:schemeClr w14:val="tx1"/>
            </w14:solidFill>
          </w14:textFill>
        </w:rPr>
        <w:t>壹</w:t>
      </w:r>
      <w:r>
        <w:rPr>
          <w:rFonts w:hint="eastAsia" w:ascii="宋体" w:hAnsi="宋体" w:eastAsia="宋体" w:cs="宋体"/>
          <w:color w:val="000000" w:themeColor="text1"/>
          <w:highlight w:val="none"/>
          <w:lang w:eastAsia="zh-CN"/>
          <w14:textFill>
            <w14:solidFill>
              <w14:schemeClr w14:val="tx1"/>
            </w14:solidFill>
          </w14:textFill>
        </w:rPr>
        <w:t>份，甲方</w:t>
      </w:r>
      <w:r>
        <w:rPr>
          <w:rFonts w:hint="eastAsia" w:ascii="宋体" w:hAnsi="宋体" w:eastAsia="宋体" w:cs="宋体"/>
          <w:color w:val="000000" w:themeColor="text1"/>
          <w:highlight w:val="none"/>
          <w:u w:val="single"/>
          <w:lang w:eastAsia="zh-CN"/>
          <w14:textFill>
            <w14:solidFill>
              <w14:schemeClr w14:val="tx1"/>
            </w14:solidFill>
          </w14:textFill>
        </w:rPr>
        <w:t>贰</w:t>
      </w:r>
      <w:r>
        <w:rPr>
          <w:rFonts w:hint="eastAsia" w:ascii="宋体" w:hAnsi="宋体" w:eastAsia="宋体" w:cs="宋体"/>
          <w:color w:val="000000" w:themeColor="text1"/>
          <w:highlight w:val="none"/>
          <w:lang w:eastAsia="zh-CN"/>
          <w14:textFill>
            <w14:solidFill>
              <w14:schemeClr w14:val="tx1"/>
            </w14:solidFill>
          </w14:textFill>
        </w:rPr>
        <w:t>份。</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第十六条 </w:t>
      </w:r>
      <w:r>
        <w:rPr>
          <w:rFonts w:hint="eastAsia" w:ascii="宋体" w:hAnsi="宋体" w:eastAsia="宋体" w:cs="宋体"/>
          <w:b/>
          <w:bCs/>
          <w:color w:val="000000" w:themeColor="text1"/>
          <w:highlight w:val="none"/>
          <w:lang w:eastAsia="zh-CN"/>
          <w14:textFill>
            <w14:solidFill>
              <w14:schemeClr w14:val="tx1"/>
            </w14:solidFill>
          </w14:textFill>
        </w:rPr>
        <w:t>其他事项</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16.1</w:t>
      </w:r>
      <w:r>
        <w:rPr>
          <w:rFonts w:hint="eastAsia" w:ascii="宋体" w:hAnsi="宋体" w:eastAsia="宋体" w:cs="宋体"/>
          <w:color w:val="000000" w:themeColor="text1"/>
          <w:highlight w:val="none"/>
          <w:lang w:eastAsia="zh-CN"/>
          <w14:textFill>
            <w14:solidFill>
              <w14:schemeClr w14:val="tx1"/>
            </w14:solidFill>
          </w14:textFill>
        </w:rPr>
        <w:t>开具</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税率13</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%增值税</w:t>
      </w:r>
      <w:r>
        <w:rPr>
          <w:rFonts w:hint="eastAsia" w:ascii="宋体" w:hAnsi="宋体" w:eastAsia="宋体" w:cs="宋体"/>
          <w:color w:val="000000" w:themeColor="text1"/>
          <w:highlight w:val="none"/>
          <w:lang w:val="en-US" w:eastAsia="zh-CN"/>
          <w14:textFill>
            <w14:solidFill>
              <w14:schemeClr w14:val="tx1"/>
            </w14:solidFill>
          </w14:textFill>
        </w:rPr>
        <w:t>专用</w:t>
      </w:r>
      <w:r>
        <w:rPr>
          <w:rFonts w:hint="eastAsia" w:ascii="宋体" w:hAnsi="宋体" w:eastAsia="宋体" w:cs="宋体"/>
          <w:color w:val="000000" w:themeColor="text1"/>
          <w:highlight w:val="none"/>
          <w:lang w:eastAsia="zh-CN"/>
          <w14:textFill>
            <w14:solidFill>
              <w14:schemeClr w14:val="tx1"/>
            </w14:solidFill>
          </w14:textFill>
        </w:rPr>
        <w:t>发票（如遇国家增值税政策调整，以开票之日标准税率开具，并相应调整协议含税金额,不含税金额不变）。</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16.2乙方</w:t>
      </w:r>
      <w:r>
        <w:rPr>
          <w:rFonts w:hint="eastAsia" w:ascii="宋体" w:hAnsi="宋体" w:eastAsia="宋体" w:cs="宋体"/>
          <w:color w:val="000000" w:themeColor="text1"/>
          <w:highlight w:val="none"/>
          <w:lang w:eastAsia="zh-CN"/>
          <w14:textFill>
            <w14:solidFill>
              <w14:schemeClr w14:val="tx1"/>
            </w14:solidFill>
          </w14:textFill>
        </w:rPr>
        <w:t>同意遵守</w:t>
      </w:r>
      <w:r>
        <w:rPr>
          <w:rFonts w:hint="eastAsia" w:ascii="宋体" w:hAnsi="宋体" w:eastAsia="宋体" w:cs="宋体"/>
          <w:color w:val="000000" w:themeColor="text1"/>
          <w:highlight w:val="none"/>
          <w:lang w:val="en-US" w:eastAsia="zh-CN"/>
          <w14:textFill>
            <w14:solidFill>
              <w14:schemeClr w14:val="tx1"/>
            </w14:solidFill>
          </w14:textFill>
        </w:rPr>
        <w:t>甲方</w:t>
      </w:r>
      <w:r>
        <w:rPr>
          <w:rFonts w:hint="eastAsia" w:ascii="宋体" w:hAnsi="宋体" w:eastAsia="宋体" w:cs="宋体"/>
          <w:color w:val="000000" w:themeColor="text1"/>
          <w:highlight w:val="none"/>
          <w:lang w:eastAsia="zh-CN"/>
          <w14:textFill>
            <w14:solidFill>
              <w14:schemeClr w14:val="tx1"/>
            </w14:solidFill>
          </w14:textFill>
        </w:rPr>
        <w:t>《物资采购廉洁合同》约定事项和《物资分公司供应商管理办法》规定事项，并已完全知晓相关规定，发生违反约定和违规行为的，乙方同意按照《物资采购廉洁合同》约定和《物资分公司供应商管理办法》规定进行处理。</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16.3通知与送达条款：双方确认本协议所载住所地址为有效送达地址，任何书面通知发至该地址（含电子邮件）即视为送达，变更地址须提前三日书面通知对方。</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16.4</w:t>
      </w:r>
      <w:r>
        <w:rPr>
          <w:rFonts w:hint="eastAsia" w:ascii="宋体" w:hAnsi="宋体" w:eastAsia="宋体" w:cs="宋体"/>
          <w:color w:val="000000" w:themeColor="text1"/>
          <w:highlight w:val="none"/>
          <w:lang w:eastAsia="zh-CN"/>
          <w14:textFill>
            <w14:solidFill>
              <w14:schemeClr w14:val="tx1"/>
            </w14:solidFill>
          </w14:textFill>
        </w:rPr>
        <w:t>需特别约定的其他事项：</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无   </w:t>
      </w:r>
      <w:r>
        <w:rPr>
          <w:rFonts w:ascii="宋体" w:hAnsi="宋体" w:eastAsia="宋体" w:cs="宋体"/>
          <w:color w:val="000000" w:themeColor="text1"/>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b/>
          <w:bCs/>
          <w:color w:val="000000" w:themeColor="text1"/>
          <w:highlight w:val="none"/>
          <w:u w:val="single"/>
          <w:lang w:eastAsia="zh-CN"/>
          <w14:textFill>
            <w14:solidFill>
              <w14:schemeClr w14:val="tx1"/>
            </w14:solidFill>
          </w14:textFill>
        </w:rPr>
      </w:pPr>
      <w:r>
        <w:rPr>
          <w:rFonts w:ascii="宋体" w:hAnsi="宋体" w:eastAsia="宋体" w:cs="宋体"/>
          <w:b/>
          <w:bCs/>
          <w:color w:val="000000" w:themeColor="text1"/>
          <w:highlight w:val="none"/>
          <w:u w:val="single"/>
          <w:lang w:eastAsia="zh-CN"/>
          <w14:textFill>
            <w14:solidFill>
              <w14:schemeClr w14:val="tx1"/>
            </w14:solidFill>
          </w14:textFill>
        </w:rPr>
        <w:t>特别提醒：甲方已采取合理方式提请乙方注意</w:t>
      </w:r>
      <w:r>
        <w:rPr>
          <w:rFonts w:hint="eastAsia" w:ascii="宋体" w:hAnsi="宋体" w:eastAsia="宋体" w:cs="宋体"/>
          <w:b/>
          <w:bCs/>
          <w:color w:val="000000" w:themeColor="text1"/>
          <w:highlight w:val="none"/>
          <w:u w:val="single"/>
          <w:lang w:eastAsia="zh-CN"/>
          <w14:textFill>
            <w14:solidFill>
              <w14:schemeClr w14:val="tx1"/>
            </w14:solidFill>
          </w14:textFill>
        </w:rPr>
        <w:t>本协议</w:t>
      </w:r>
      <w:r>
        <w:rPr>
          <w:rFonts w:ascii="宋体" w:hAnsi="宋体" w:eastAsia="宋体" w:cs="宋体"/>
          <w:b/>
          <w:bCs/>
          <w:color w:val="000000" w:themeColor="text1"/>
          <w:highlight w:val="none"/>
          <w:u w:val="single"/>
          <w:lang w:eastAsia="zh-CN"/>
          <w14:textFill>
            <w14:solidFill>
              <w14:schemeClr w14:val="tx1"/>
            </w14:solidFill>
          </w14:textFill>
        </w:rPr>
        <w:t>项下免除或限制其责任的条款，双方确认</w:t>
      </w:r>
      <w:r>
        <w:rPr>
          <w:rFonts w:hint="eastAsia" w:ascii="宋体" w:hAnsi="宋体" w:eastAsia="宋体" w:cs="宋体"/>
          <w:b/>
          <w:bCs/>
          <w:color w:val="000000" w:themeColor="text1"/>
          <w:highlight w:val="none"/>
          <w:u w:val="single"/>
          <w:lang w:eastAsia="zh-CN"/>
          <w14:textFill>
            <w14:solidFill>
              <w14:schemeClr w14:val="tx1"/>
            </w14:solidFill>
          </w14:textFill>
        </w:rPr>
        <w:t>：</w:t>
      </w:r>
      <w:r>
        <w:rPr>
          <w:rFonts w:ascii="宋体" w:hAnsi="宋体" w:eastAsia="宋体" w:cs="宋体"/>
          <w:b/>
          <w:bCs/>
          <w:color w:val="000000" w:themeColor="text1"/>
          <w:highlight w:val="none"/>
          <w:u w:val="single"/>
          <w:lang w:eastAsia="zh-CN"/>
          <w14:textFill>
            <w14:solidFill>
              <w14:schemeClr w14:val="tx1"/>
            </w14:solidFill>
          </w14:textFill>
        </w:rPr>
        <w:t>在签署</w:t>
      </w:r>
      <w:r>
        <w:rPr>
          <w:rFonts w:hint="eastAsia" w:ascii="宋体" w:hAnsi="宋体" w:eastAsia="宋体" w:cs="宋体"/>
          <w:b/>
          <w:bCs/>
          <w:color w:val="000000" w:themeColor="text1"/>
          <w:highlight w:val="none"/>
          <w:u w:val="single"/>
          <w:lang w:eastAsia="zh-CN"/>
          <w14:textFill>
            <w14:solidFill>
              <w14:schemeClr w14:val="tx1"/>
            </w14:solidFill>
          </w14:textFill>
        </w:rPr>
        <w:t>本协议</w:t>
      </w:r>
      <w:r>
        <w:rPr>
          <w:rFonts w:ascii="宋体" w:hAnsi="宋体" w:eastAsia="宋体" w:cs="宋体"/>
          <w:b/>
          <w:bCs/>
          <w:color w:val="000000" w:themeColor="text1"/>
          <w:highlight w:val="none"/>
          <w:u w:val="single"/>
          <w:lang w:eastAsia="zh-CN"/>
          <w14:textFill>
            <w14:solidFill>
              <w14:schemeClr w14:val="tx1"/>
            </w14:solidFill>
          </w14:textFill>
        </w:rPr>
        <w:t>时已就全部条款进行了详细地</w:t>
      </w:r>
      <w:r>
        <w:rPr>
          <w:rFonts w:hint="eastAsia" w:ascii="宋体" w:hAnsi="宋体" w:eastAsia="宋体" w:cs="宋体"/>
          <w:b/>
          <w:bCs/>
          <w:color w:val="000000" w:themeColor="text1"/>
          <w:highlight w:val="none"/>
          <w:u w:val="single"/>
          <w:lang w:eastAsia="zh-CN"/>
          <w14:textFill>
            <w14:solidFill>
              <w14:schemeClr w14:val="tx1"/>
            </w14:solidFill>
          </w14:textFill>
        </w:rPr>
        <w:t>讨论</w:t>
      </w:r>
      <w:r>
        <w:rPr>
          <w:rFonts w:ascii="宋体" w:hAnsi="宋体" w:eastAsia="宋体" w:cs="宋体"/>
          <w:b/>
          <w:bCs/>
          <w:color w:val="000000" w:themeColor="text1"/>
          <w:highlight w:val="none"/>
          <w:u w:val="single"/>
          <w:lang w:eastAsia="zh-CN"/>
          <w14:textFill>
            <w14:solidFill>
              <w14:schemeClr w14:val="tx1"/>
            </w14:solidFill>
          </w14:textFill>
        </w:rPr>
        <w:t>和</w:t>
      </w:r>
      <w:r>
        <w:rPr>
          <w:rFonts w:hint="eastAsia" w:ascii="宋体" w:hAnsi="宋体" w:eastAsia="宋体" w:cs="宋体"/>
          <w:b/>
          <w:bCs/>
          <w:color w:val="000000" w:themeColor="text1"/>
          <w:highlight w:val="none"/>
          <w:u w:val="single"/>
          <w:lang w:eastAsia="zh-CN"/>
          <w14:textFill>
            <w14:solidFill>
              <w14:schemeClr w14:val="tx1"/>
            </w14:solidFill>
          </w14:textFill>
        </w:rPr>
        <w:t>说明</w:t>
      </w:r>
      <w:r>
        <w:rPr>
          <w:rFonts w:ascii="宋体" w:hAnsi="宋体" w:eastAsia="宋体" w:cs="宋体"/>
          <w:b/>
          <w:bCs/>
          <w:color w:val="000000" w:themeColor="text1"/>
          <w:highlight w:val="none"/>
          <w:u w:val="single"/>
          <w:lang w:eastAsia="zh-CN"/>
          <w14:textFill>
            <w14:solidFill>
              <w14:schemeClr w14:val="tx1"/>
            </w14:solidFill>
          </w14:textFill>
        </w:rPr>
        <w:t>，对</w:t>
      </w:r>
      <w:r>
        <w:rPr>
          <w:rFonts w:hint="eastAsia" w:ascii="宋体" w:hAnsi="宋体" w:eastAsia="宋体" w:cs="宋体"/>
          <w:b/>
          <w:bCs/>
          <w:color w:val="000000" w:themeColor="text1"/>
          <w:highlight w:val="none"/>
          <w:u w:val="single"/>
          <w:lang w:eastAsia="zh-CN"/>
          <w14:textFill>
            <w14:solidFill>
              <w14:schemeClr w14:val="tx1"/>
            </w14:solidFill>
          </w14:textFill>
        </w:rPr>
        <w:t>协议</w:t>
      </w:r>
      <w:r>
        <w:rPr>
          <w:rFonts w:ascii="宋体" w:hAnsi="宋体" w:eastAsia="宋体" w:cs="宋体"/>
          <w:b/>
          <w:bCs/>
          <w:color w:val="000000" w:themeColor="text1"/>
          <w:highlight w:val="none"/>
          <w:u w:val="single"/>
          <w:lang w:eastAsia="zh-CN"/>
          <w14:textFill>
            <w14:solidFill>
              <w14:schemeClr w14:val="tx1"/>
            </w14:solidFill>
          </w14:textFill>
        </w:rPr>
        <w:t>的全部条款均无异议，并对</w:t>
      </w:r>
      <w:r>
        <w:rPr>
          <w:rFonts w:hint="eastAsia" w:ascii="宋体" w:hAnsi="宋体" w:eastAsia="宋体" w:cs="宋体"/>
          <w:b/>
          <w:bCs/>
          <w:color w:val="000000" w:themeColor="text1"/>
          <w:highlight w:val="none"/>
          <w:u w:val="single"/>
          <w:lang w:eastAsia="zh-CN"/>
          <w14:textFill>
            <w14:solidFill>
              <w14:schemeClr w14:val="tx1"/>
            </w14:solidFill>
          </w14:textFill>
        </w:rPr>
        <w:t>协议中</w:t>
      </w:r>
      <w:r>
        <w:rPr>
          <w:rFonts w:ascii="宋体" w:hAnsi="宋体" w:eastAsia="宋体" w:cs="宋体"/>
          <w:b/>
          <w:bCs/>
          <w:color w:val="000000" w:themeColor="text1"/>
          <w:highlight w:val="none"/>
          <w:u w:val="single"/>
          <w:lang w:eastAsia="zh-CN"/>
          <w14:textFill>
            <w14:solidFill>
              <w14:schemeClr w14:val="tx1"/>
            </w14:solidFill>
          </w14:textFill>
        </w:rPr>
        <w:t>有关权利义务和责任限制或免除条款的法律含义有准确无误的理解。</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p>
    <w:tbl>
      <w:tblPr>
        <w:tblStyle w:val="207"/>
        <w:tblW w:w="10470" w:type="dxa"/>
        <w:tblInd w:w="159" w:type="dxa"/>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Layout w:type="fixed"/>
        <w:tblCellMar>
          <w:top w:w="0" w:type="dxa"/>
          <w:left w:w="0" w:type="dxa"/>
          <w:bottom w:w="0" w:type="dxa"/>
          <w:right w:w="0" w:type="dxa"/>
        </w:tblCellMar>
      </w:tblPr>
      <w:tblGrid>
        <w:gridCol w:w="4994"/>
        <w:gridCol w:w="5476"/>
      </w:tblGrid>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8"/>
              <w:keepNext w:val="0"/>
              <w:keepLines w:val="0"/>
              <w:pageBreakBefore w:val="0"/>
              <w:widowControl w:val="0"/>
              <w:wordWrap/>
              <w:overflowPunct/>
              <w:topLinePunct w:val="0"/>
              <w:bidi w:val="0"/>
              <w:spacing w:before="34" w:line="280" w:lineRule="exact"/>
              <w:ind w:left="1686" w:leftChars="0"/>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1"/>
                <w:szCs w:val="21"/>
                <w:highlight w:val="none"/>
                <w:lang w:val="en-US" w:eastAsia="zh-CN"/>
                <w14:textFill>
                  <w14:solidFill>
                    <w14:schemeClr w14:val="tx1"/>
                  </w14:solidFill>
                </w14:textFill>
              </w:rPr>
              <w:t>甲方</w:t>
            </w:r>
          </w:p>
        </w:tc>
        <w:tc>
          <w:tcPr>
            <w:tcW w:w="5476" w:type="dxa"/>
            <w:vAlign w:val="top"/>
          </w:tcPr>
          <w:p>
            <w:pPr>
              <w:pStyle w:val="208"/>
              <w:keepNext w:val="0"/>
              <w:keepLines w:val="0"/>
              <w:pageBreakBefore w:val="0"/>
              <w:widowControl w:val="0"/>
              <w:wordWrap/>
              <w:overflowPunct/>
              <w:topLinePunct w:val="0"/>
              <w:bidi w:val="0"/>
              <w:spacing w:before="34" w:line="280" w:lineRule="exact"/>
              <w:ind w:left="1714" w:leftChars="0"/>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1"/>
                <w:szCs w:val="21"/>
                <w:highlight w:val="none"/>
                <w:lang w:val="en-US" w:eastAsia="zh-CN"/>
                <w14:textFill>
                  <w14:solidFill>
                    <w14:schemeClr w14:val="tx1"/>
                  </w14:solidFill>
                </w14:textFill>
              </w:rPr>
              <w:t>乙方</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175" w:hRule="atLeast"/>
        </w:trPr>
        <w:tc>
          <w:tcPr>
            <w:tcW w:w="4994" w:type="dxa"/>
            <w:vAlign w:val="top"/>
          </w:tcPr>
          <w:p>
            <w:pPr>
              <w:pStyle w:val="208"/>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章）：淮北矿业股份有限公司</w:t>
            </w:r>
          </w:p>
        </w:tc>
        <w:tc>
          <w:tcPr>
            <w:tcW w:w="5476" w:type="dxa"/>
            <w:vAlign w:val="center"/>
          </w:tcPr>
          <w:p>
            <w:pPr>
              <w:pStyle w:val="208"/>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（章）：</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8"/>
              <w:keepNext w:val="0"/>
              <w:keepLines w:val="0"/>
              <w:pageBreakBefore w:val="0"/>
              <w:widowControl w:val="0"/>
              <w:wordWrap/>
              <w:overflowPunct/>
              <w:topLinePunct w:val="0"/>
              <w:bidi w:val="0"/>
              <w:spacing w:line="280" w:lineRule="exact"/>
              <w:ind w:left="17"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住所</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地址</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：淮北市人民中路276号</w:t>
            </w:r>
          </w:p>
        </w:tc>
        <w:tc>
          <w:tcPr>
            <w:tcW w:w="5476" w:type="dxa"/>
            <w:vAlign w:val="top"/>
          </w:tcPr>
          <w:p>
            <w:pPr>
              <w:pStyle w:val="208"/>
              <w:keepNext w:val="0"/>
              <w:keepLines w:val="0"/>
              <w:pageBreakBefore w:val="0"/>
              <w:widowControl w:val="0"/>
              <w:wordWrap/>
              <w:overflowPunct/>
              <w:topLinePunct w:val="0"/>
              <w:bidi w:val="0"/>
              <w:spacing w:line="280" w:lineRule="exact"/>
              <w:ind w:left="43"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住所地址：</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8"/>
              <w:keepNext w:val="0"/>
              <w:keepLines w:val="0"/>
              <w:pageBreakBefore w:val="0"/>
              <w:widowControl w:val="0"/>
              <w:wordWrap/>
              <w:overflowPunct/>
              <w:topLinePunct w:val="0"/>
              <w:bidi w:val="0"/>
              <w:spacing w:before="38" w:line="280" w:lineRule="exact"/>
              <w:ind w:left="19" w:leftChars="0"/>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法定代表人：</w:t>
            </w:r>
          </w:p>
        </w:tc>
        <w:tc>
          <w:tcPr>
            <w:tcW w:w="5476" w:type="dxa"/>
            <w:vAlign w:val="top"/>
          </w:tcPr>
          <w:p>
            <w:pPr>
              <w:pStyle w:val="208"/>
              <w:keepNext w:val="0"/>
              <w:keepLines w:val="0"/>
              <w:pageBreakBefore w:val="0"/>
              <w:widowControl w:val="0"/>
              <w:wordWrap/>
              <w:overflowPunct/>
              <w:topLinePunct w:val="0"/>
              <w:bidi w:val="0"/>
              <w:spacing w:before="38" w:line="280" w:lineRule="exact"/>
              <w:ind w:left="44"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法定代表人：</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8"/>
              <w:keepNext w:val="0"/>
              <w:keepLines w:val="0"/>
              <w:pageBreakBefore w:val="0"/>
              <w:widowControl w:val="0"/>
              <w:wordWrap/>
              <w:overflowPunct/>
              <w:topLinePunct w:val="0"/>
              <w:bidi w:val="0"/>
              <w:spacing w:before="38" w:line="280" w:lineRule="exact"/>
              <w:ind w:left="17" w:leftChars="0"/>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5"/>
                <w:sz w:val="21"/>
                <w:szCs w:val="21"/>
                <w:highlight w:val="none"/>
                <w14:textFill>
                  <w14:solidFill>
                    <w14:schemeClr w14:val="tx1"/>
                  </w14:solidFill>
                </w14:textFill>
              </w:rPr>
              <w:t>委托代理人：</w:t>
            </w:r>
            <w:r>
              <w:rPr>
                <w:rFonts w:hint="eastAsia" w:asciiTheme="minorEastAsia" w:hAnsiTheme="minorEastAsia" w:eastAsiaTheme="minorEastAsia" w:cstheme="minorEastAsia"/>
                <w:color w:val="000000" w:themeColor="text1"/>
                <w:spacing w:val="5"/>
                <w:sz w:val="21"/>
                <w:szCs w:val="21"/>
                <w:highlight w:val="none"/>
                <w:lang w:val="en-US" w:eastAsia="zh-CN"/>
                <w14:textFill>
                  <w14:solidFill>
                    <w14:schemeClr w14:val="tx1"/>
                  </w14:solidFill>
                </w14:textFill>
              </w:rPr>
              <w:t xml:space="preserve">           审核人：</w:t>
            </w:r>
          </w:p>
        </w:tc>
        <w:tc>
          <w:tcPr>
            <w:tcW w:w="5476" w:type="dxa"/>
            <w:vAlign w:val="top"/>
          </w:tcPr>
          <w:p>
            <w:pPr>
              <w:pStyle w:val="208"/>
              <w:keepNext w:val="0"/>
              <w:keepLines w:val="0"/>
              <w:pageBreakBefore w:val="0"/>
              <w:widowControl w:val="0"/>
              <w:wordWrap/>
              <w:overflowPunct/>
              <w:topLinePunct w:val="0"/>
              <w:bidi w:val="0"/>
              <w:spacing w:before="38" w:line="280" w:lineRule="exact"/>
              <w:ind w:left="43"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委托代理人：</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8"/>
              <w:keepNext w:val="0"/>
              <w:keepLines w:val="0"/>
              <w:pageBreakBefore w:val="0"/>
              <w:widowControl w:val="0"/>
              <w:wordWrap/>
              <w:overflowPunct/>
              <w:topLinePunct w:val="0"/>
              <w:bidi w:val="0"/>
              <w:spacing w:before="40" w:line="28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highlight w:val="none"/>
                <w14:textFill>
                  <w14:solidFill>
                    <w14:schemeClr w14:val="tx1"/>
                  </w14:solidFill>
                </w14:textFill>
              </w:rPr>
              <w:t>电话：0561-4951379（此电话仅作为开票信息使用）</w:t>
            </w:r>
          </w:p>
        </w:tc>
        <w:tc>
          <w:tcPr>
            <w:tcW w:w="5476" w:type="dxa"/>
            <w:vAlign w:val="top"/>
          </w:tcPr>
          <w:p>
            <w:pPr>
              <w:pStyle w:val="208"/>
              <w:keepNext w:val="0"/>
              <w:keepLines w:val="0"/>
              <w:pageBreakBefore w:val="0"/>
              <w:widowControl w:val="0"/>
              <w:wordWrap/>
              <w:overflowPunct/>
              <w:topLinePunct w:val="0"/>
              <w:bidi w:val="0"/>
              <w:spacing w:line="280" w:lineRule="exact"/>
              <w:ind w:left="65"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5"/>
                <w:sz w:val="21"/>
                <w:szCs w:val="21"/>
                <w:highlight w:val="none"/>
                <w14:textFill>
                  <w14:solidFill>
                    <w14:schemeClr w14:val="tx1"/>
                  </w14:solidFill>
                </w14:textFill>
              </w:rPr>
              <w:t>电话：</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8"/>
              <w:keepNext w:val="0"/>
              <w:keepLines w:val="0"/>
              <w:pageBreakBefore w:val="0"/>
              <w:widowControl w:val="0"/>
              <w:wordWrap/>
              <w:overflowPunct/>
              <w:topLinePunct w:val="0"/>
              <w:bidi w:val="0"/>
              <w:spacing w:before="40" w:line="280" w:lineRule="exact"/>
              <w:ind w:left="19"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开户银行：中国工商银行淮北市人民东路支行</w:t>
            </w:r>
          </w:p>
        </w:tc>
        <w:tc>
          <w:tcPr>
            <w:tcW w:w="5476" w:type="dxa"/>
            <w:vAlign w:val="top"/>
          </w:tcPr>
          <w:p>
            <w:pPr>
              <w:pStyle w:val="208"/>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开户银行：</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8"/>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账号：9558851305000012667</w:t>
            </w:r>
          </w:p>
        </w:tc>
        <w:tc>
          <w:tcPr>
            <w:tcW w:w="5476" w:type="dxa"/>
            <w:vAlign w:val="top"/>
          </w:tcPr>
          <w:p>
            <w:pPr>
              <w:pStyle w:val="208"/>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账号：</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8"/>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纳税人识别号：91340600733033942R</w:t>
            </w:r>
          </w:p>
        </w:tc>
        <w:tc>
          <w:tcPr>
            <w:tcW w:w="5476" w:type="dxa"/>
            <w:vAlign w:val="top"/>
          </w:tcPr>
          <w:p>
            <w:pPr>
              <w:pStyle w:val="208"/>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纳税人识别号：</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8"/>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统一社会信用代码：</w:t>
            </w:r>
          </w:p>
        </w:tc>
        <w:tc>
          <w:tcPr>
            <w:tcW w:w="5476" w:type="dxa"/>
            <w:vAlign w:val="top"/>
          </w:tcPr>
          <w:p>
            <w:pPr>
              <w:pStyle w:val="208"/>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统一社会信用代码：</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9" w:hRule="atLeast"/>
        </w:trPr>
        <w:tc>
          <w:tcPr>
            <w:tcW w:w="4994" w:type="dxa"/>
            <w:vAlign w:val="top"/>
          </w:tcPr>
          <w:p>
            <w:pPr>
              <w:pStyle w:val="208"/>
              <w:keepNext w:val="0"/>
              <w:keepLines w:val="0"/>
              <w:pageBreakBefore w:val="0"/>
              <w:widowControl w:val="0"/>
              <w:wordWrap/>
              <w:overflowPunct/>
              <w:topLinePunct w:val="0"/>
              <w:bidi w:val="0"/>
              <w:spacing w:before="1" w:line="280" w:lineRule="exact"/>
              <w:ind w:left="32"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t>邮政编码：235000</w:t>
            </w:r>
          </w:p>
        </w:tc>
        <w:tc>
          <w:tcPr>
            <w:tcW w:w="5476" w:type="dxa"/>
            <w:vAlign w:val="top"/>
          </w:tcPr>
          <w:p>
            <w:pPr>
              <w:pStyle w:val="208"/>
              <w:keepNext w:val="0"/>
              <w:keepLines w:val="0"/>
              <w:pageBreakBefore w:val="0"/>
              <w:widowControl w:val="0"/>
              <w:wordWrap/>
              <w:overflowPunct/>
              <w:topLinePunct w:val="0"/>
              <w:bidi w:val="0"/>
              <w:spacing w:before="43" w:line="280" w:lineRule="exact"/>
              <w:ind w:left="57"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邮政编码：</w:t>
            </w:r>
          </w:p>
        </w:tc>
      </w:tr>
    </w:tbl>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cs="宋体" w:eastAsiaTheme="minorEastAsia"/>
          <w:color w:val="000000" w:themeColor="text1"/>
          <w:sz w:val="21"/>
          <w:szCs w:val="21"/>
          <w:highlight w:val="none"/>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rFonts w:hint="eastAsia"/>
          <w:color w:val="000000" w:themeColor="text1"/>
          <w:spacing w:val="-2"/>
          <w:sz w:val="21"/>
          <w:szCs w:val="21"/>
          <w:highlight w:val="none"/>
          <w:lang w:eastAsia="zh-CN"/>
          <w14:textFill>
            <w14:solidFill>
              <w14:schemeClr w14:val="tx1"/>
            </w14:solidFill>
          </w14:textFill>
        </w:rPr>
        <w:t>协议</w:t>
      </w:r>
      <w:r>
        <w:rPr>
          <w:color w:val="000000" w:themeColor="text1"/>
          <w:spacing w:val="-2"/>
          <w:sz w:val="21"/>
          <w:szCs w:val="21"/>
          <w:highlight w:val="none"/>
          <w14:textFill>
            <w14:solidFill>
              <w14:schemeClr w14:val="tx1"/>
            </w14:solidFill>
          </w14:textFill>
        </w:rPr>
        <w:t>履行地：</w:t>
      </w:r>
      <w:r>
        <w:rPr>
          <w:color w:val="000000" w:themeColor="text1"/>
          <w:spacing w:val="-2"/>
          <w:sz w:val="21"/>
          <w:szCs w:val="21"/>
          <w:highlight w:val="none"/>
          <w:u w:val="single"/>
          <w14:textFill>
            <w14:solidFill>
              <w14:schemeClr w14:val="tx1"/>
            </w14:solidFill>
          </w14:textFill>
        </w:rPr>
        <w:t>淮北市相山区</w:t>
      </w:r>
      <w:r>
        <w:rPr>
          <w:rFonts w:hint="eastAsia"/>
          <w:color w:val="000000" w:themeColor="text1"/>
          <w:spacing w:val="-2"/>
          <w:sz w:val="21"/>
          <w:szCs w:val="21"/>
          <w:highlight w:val="none"/>
          <w:lang w:val="en-US" w:eastAsia="zh-CN"/>
          <w14:textFill>
            <w14:solidFill>
              <w14:schemeClr w14:val="tx1"/>
            </w14:solidFill>
          </w14:textFill>
        </w:rPr>
        <w:t xml:space="preserve">        </w:t>
      </w:r>
      <w:r>
        <w:rPr>
          <w:color w:val="000000" w:themeColor="text1"/>
          <w:spacing w:val="-3"/>
          <w:sz w:val="21"/>
          <w:szCs w:val="21"/>
          <w:highlight w:val="none"/>
          <w14:textFill>
            <w14:solidFill>
              <w14:schemeClr w14:val="tx1"/>
            </w14:solidFill>
          </w14:textFill>
        </w:rPr>
        <w:t>有效期限：</w:t>
      </w: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t xml:space="preserve">                   </w:t>
      </w:r>
      <w:r>
        <w:rPr>
          <w:color w:val="000000" w:themeColor="text1"/>
          <w:spacing w:val="-3"/>
          <w:sz w:val="21"/>
          <w:szCs w:val="21"/>
          <w:highlight w:val="none"/>
          <w14:textFill>
            <w14:solidFill>
              <w14:schemeClr w14:val="tx1"/>
            </w14:solidFill>
          </w14:textFill>
        </w:rPr>
        <w:t>至</w:t>
      </w: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t xml:space="preserve">                   </w:t>
      </w:r>
    </w:p>
    <w:p>
      <w:pP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br w:type="page"/>
      </w:r>
    </w:p>
    <w:p>
      <w:pPr>
        <w:pageBreakBefore w:val="0"/>
        <w:kinsoku/>
        <w:wordWrap/>
        <w:overflowPunct/>
        <w:topLinePunct w:val="0"/>
        <w:autoSpaceDE/>
        <w:autoSpaceDN/>
        <w:bidi w:val="0"/>
        <w:adjustRightInd/>
        <w:snapToGrid/>
        <w:spacing w:line="240" w:lineRule="atLeast"/>
        <w:textAlignment w:val="auto"/>
        <w:rPr>
          <w:rFonts w:hint="eastAsia" w:ascii="宋体" w:hAnsi="宋体" w:eastAsia="宋体" w:cs="宋体"/>
          <w:sz w:val="28"/>
          <w:szCs w:val="28"/>
          <w:highlight w:val="none"/>
        </w:rPr>
      </w:pPr>
    </w:p>
    <w:p>
      <w:pPr>
        <w:keepNext w:val="0"/>
        <w:keepLines w:val="0"/>
        <w:pageBreakBefore w:val="0"/>
        <w:widowControl w:val="0"/>
        <w:kinsoku/>
        <w:wordWrap/>
        <w:overflowPunct/>
        <w:topLinePunct w:val="0"/>
        <w:autoSpaceDE/>
        <w:autoSpaceDN/>
        <w:bidi w:val="0"/>
        <w:adjustRightInd/>
        <w:snapToGrid/>
        <w:spacing w:line="280" w:lineRule="exact"/>
        <w:ind w:firstLine="420" w:firstLineChars="0"/>
        <w:textAlignment w:val="auto"/>
        <w:rPr>
          <w:rFonts w:hint="eastAsia" w:ascii="宋体" w:hAnsi="宋体" w:eastAsia="宋体" w:cs="宋体"/>
          <w:color w:val="000000" w:themeColor="text1"/>
          <w:sz w:val="28"/>
          <w:szCs w:val="32"/>
          <w:highlight w:val="none"/>
          <w:lang w:eastAsia="zh-CN"/>
          <w14:textFill>
            <w14:solidFill>
              <w14:schemeClr w14:val="tx1"/>
            </w14:solidFill>
          </w14:textFill>
        </w:rPr>
      </w:pPr>
      <w:r>
        <w:rPr>
          <w:rFonts w:hint="eastAsia" w:ascii="宋体" w:hAnsi="宋体" w:eastAsia="宋体" w:cs="宋体"/>
          <w:color w:val="000000" w:themeColor="text1"/>
          <w:sz w:val="28"/>
          <w:szCs w:val="32"/>
          <w:highlight w:val="none"/>
          <w:lang w:eastAsia="zh-CN"/>
          <w14:textFill>
            <w14:solidFill>
              <w14:schemeClr w14:val="tx1"/>
            </w14:solidFill>
          </w14:textFill>
        </w:rPr>
        <w:t>附件:工业品买卖框架（代储）协议明细表</w:t>
      </w:r>
    </w:p>
    <w:p>
      <w:pPr>
        <w:pageBreakBefore w:val="0"/>
        <w:kinsoku/>
        <w:wordWrap/>
        <w:overflowPunct/>
        <w:topLinePunct w:val="0"/>
        <w:autoSpaceDE/>
        <w:autoSpaceDN/>
        <w:bidi w:val="0"/>
        <w:adjustRightInd/>
        <w:snapToGrid/>
        <w:spacing w:line="240" w:lineRule="atLeast"/>
        <w:textAlignment w:val="auto"/>
        <w:rPr>
          <w:rFonts w:hint="eastAsia" w:ascii="宋体" w:hAnsi="宋体" w:eastAsia="宋体" w:cs="宋体"/>
          <w:sz w:val="18"/>
          <w:szCs w:val="18"/>
          <w:highlight w:val="none"/>
        </w:rPr>
      </w:pPr>
    </w:p>
    <w:p>
      <w:pPr>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18"/>
          <w:szCs w:val="18"/>
          <w:highlight w:val="none"/>
        </w:rPr>
      </w:pPr>
      <w:r>
        <w:rPr>
          <w:rFonts w:hint="eastAsia" w:ascii="宋体" w:hAnsi="宋体" w:eastAsia="宋体" w:cs="宋体"/>
          <w:b/>
          <w:sz w:val="30"/>
          <w:szCs w:val="30"/>
          <w:highlight w:val="none"/>
        </w:rPr>
        <w:t>工业品买卖框架（</w:t>
      </w:r>
      <w:r>
        <w:rPr>
          <w:rFonts w:hint="eastAsia" w:ascii="宋体" w:hAnsi="宋体" w:eastAsia="宋体" w:cs="宋体"/>
          <w:b/>
          <w:sz w:val="30"/>
          <w:szCs w:val="30"/>
          <w:highlight w:val="none"/>
          <w:lang w:val="en-US" w:eastAsia="zh-CN"/>
        </w:rPr>
        <w:t>代储</w:t>
      </w:r>
      <w:r>
        <w:rPr>
          <w:rFonts w:hint="eastAsia" w:ascii="宋体" w:hAnsi="宋体" w:eastAsia="宋体" w:cs="宋体"/>
          <w:b/>
          <w:sz w:val="30"/>
          <w:szCs w:val="30"/>
          <w:highlight w:val="none"/>
        </w:rPr>
        <w:t>）协议明细表</w:t>
      </w:r>
    </w:p>
    <w:tbl>
      <w:tblPr>
        <w:tblStyle w:val="195"/>
        <w:tblW w:w="10443" w:type="dxa"/>
        <w:tblInd w:w="165"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1069"/>
        <w:gridCol w:w="1424"/>
        <w:gridCol w:w="661"/>
        <w:gridCol w:w="656"/>
        <w:gridCol w:w="391"/>
        <w:gridCol w:w="342"/>
        <w:gridCol w:w="753"/>
        <w:gridCol w:w="669"/>
        <w:gridCol w:w="824"/>
        <w:gridCol w:w="755"/>
        <w:gridCol w:w="730"/>
        <w:gridCol w:w="670"/>
        <w:gridCol w:w="965"/>
        <w:gridCol w:w="534"/>
      </w:tblGrid>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06" w:hRule="atLeast"/>
        </w:trPr>
        <w:tc>
          <w:tcPr>
            <w:tcW w:w="1069"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b/>
                <w:bCs/>
                <w:color w:val="000000" w:themeColor="text1"/>
                <w:spacing w:val="12"/>
                <w:sz w:val="18"/>
                <w:szCs w:val="18"/>
                <w:highlight w:val="none"/>
                <w14:textFill>
                  <w14:solidFill>
                    <w14:schemeClr w14:val="tx1"/>
                  </w14:solidFill>
                </w14:textFill>
              </w:rPr>
              <w:t>物资</w:t>
            </w:r>
            <w:r>
              <w:rPr>
                <w:rFonts w:hint="eastAsia" w:asciiTheme="minorHAnsi" w:eastAsiaTheme="minorEastAsia"/>
                <w:b/>
                <w:bCs/>
                <w:color w:val="000000" w:themeColor="text1"/>
                <w:spacing w:val="12"/>
                <w:sz w:val="18"/>
                <w:szCs w:val="18"/>
                <w:highlight w:val="none"/>
                <w:lang w:val="en-US" w:eastAsia="zh-CN"/>
                <w14:textFill>
                  <w14:solidFill>
                    <w14:schemeClr w14:val="tx1"/>
                  </w14:solidFill>
                </w14:textFill>
              </w:rPr>
              <w:t>编码</w:t>
            </w:r>
          </w:p>
        </w:tc>
        <w:tc>
          <w:tcPr>
            <w:tcW w:w="1424"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物资</w:t>
            </w:r>
            <w:r>
              <w:rPr>
                <w:rFonts w:ascii="宋体" w:hAnsi="宋体" w:eastAsia="宋体" w:cs="宋体"/>
                <w:b/>
                <w:color w:val="000000" w:themeColor="text1"/>
                <w:sz w:val="18"/>
                <w:szCs w:val="18"/>
                <w:highlight w:val="none"/>
                <w14:textFill>
                  <w14:solidFill>
                    <w14:schemeClr w14:val="tx1"/>
                  </w14:solidFill>
                </w14:textFill>
              </w:rPr>
              <w:t>名称</w:t>
            </w:r>
          </w:p>
        </w:tc>
        <w:tc>
          <w:tcPr>
            <w:tcW w:w="661"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型号</w:t>
            </w:r>
          </w:p>
        </w:tc>
        <w:tc>
          <w:tcPr>
            <w:tcW w:w="656"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计量</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单位</w:t>
            </w:r>
          </w:p>
        </w:tc>
        <w:tc>
          <w:tcPr>
            <w:tcW w:w="391"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数量</w:t>
            </w:r>
          </w:p>
        </w:tc>
        <w:tc>
          <w:tcPr>
            <w:tcW w:w="342"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lang w:val="en-US" w:eastAsia="zh-CN"/>
                <w14:textFill>
                  <w14:solidFill>
                    <w14:schemeClr w14:val="tx1"/>
                  </w14:solidFill>
                </w14:textFill>
              </w:rPr>
            </w:pPr>
            <w:r>
              <w:rPr>
                <w:rFonts w:hint="eastAsia" w:ascii="宋体" w:hAnsi="宋体" w:eastAsia="宋体" w:cs="宋体"/>
                <w:b/>
                <w:color w:val="000000" w:themeColor="text1"/>
                <w:sz w:val="18"/>
                <w:szCs w:val="18"/>
                <w:highlight w:val="none"/>
                <w:lang w:val="en-US" w:eastAsia="zh-CN"/>
                <w14:textFill>
                  <w14:solidFill>
                    <w14:schemeClr w14:val="tx1"/>
                  </w14:solidFill>
                </w14:textFill>
              </w:rPr>
              <w:t>税率</w:t>
            </w:r>
          </w:p>
        </w:tc>
        <w:tc>
          <w:tcPr>
            <w:tcW w:w="2246" w:type="dxa"/>
            <w:gridSpan w:val="3"/>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18"/>
                <w:szCs w:val="18"/>
                <w:highlight w:val="none"/>
                <w:lang w:val="en-US" w:eastAsia="zh-CN"/>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单价（</w:t>
            </w:r>
            <w:r>
              <w:rPr>
                <w:rFonts w:hint="eastAsia" w:ascii="宋体" w:hAnsi="宋体" w:eastAsia="宋体" w:cs="宋体"/>
                <w:b/>
                <w:color w:val="000000" w:themeColor="text1"/>
                <w:sz w:val="18"/>
                <w:szCs w:val="18"/>
                <w:highlight w:val="none"/>
                <w:lang w:eastAsia="zh-CN"/>
                <w14:textFill>
                  <w14:solidFill>
                    <w14:schemeClr w14:val="tx1"/>
                  </w14:solidFill>
                </w14:textFill>
              </w:rPr>
              <w:t>元</w:t>
            </w:r>
            <w:r>
              <w:rPr>
                <w:rFonts w:ascii="宋体" w:hAnsi="宋体" w:eastAsia="宋体" w:cs="宋体"/>
                <w:b/>
                <w:color w:val="000000" w:themeColor="text1"/>
                <w:sz w:val="18"/>
                <w:szCs w:val="18"/>
                <w:highlight w:val="none"/>
                <w14:textFill>
                  <w14:solidFill>
                    <w14:schemeClr w14:val="tx1"/>
                  </w14:solidFill>
                </w14:textFill>
              </w:rPr>
              <w:t>）</w:t>
            </w:r>
          </w:p>
        </w:tc>
        <w:tc>
          <w:tcPr>
            <w:tcW w:w="2155" w:type="dxa"/>
            <w:gridSpan w:val="3"/>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lang w:eastAsia="zh-CN"/>
                <w14:textFill>
                  <w14:solidFill>
                    <w14:schemeClr w14:val="tx1"/>
                  </w14:solidFill>
                </w14:textFill>
              </w:rPr>
              <w:t>金额(元)</w:t>
            </w:r>
          </w:p>
        </w:tc>
        <w:tc>
          <w:tcPr>
            <w:tcW w:w="965"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生产厂家</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（品牌）</w:t>
            </w:r>
          </w:p>
        </w:tc>
        <w:tc>
          <w:tcPr>
            <w:tcW w:w="534"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备注</w:t>
            </w: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06" w:hRule="atLeast"/>
        </w:trPr>
        <w:tc>
          <w:tcPr>
            <w:tcW w:w="1069"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1424"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661"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656"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391"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342"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75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不含税</w:t>
            </w:r>
          </w:p>
        </w:tc>
        <w:tc>
          <w:tcPr>
            <w:tcW w:w="6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税额</w:t>
            </w: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含税</w:t>
            </w: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不含税</w:t>
            </w: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税额</w:t>
            </w: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含税</w:t>
            </w:r>
          </w:p>
        </w:tc>
        <w:tc>
          <w:tcPr>
            <w:tcW w:w="965"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3"/>
                <w:szCs w:val="13"/>
                <w:highlight w:val="none"/>
                <w14:textFill>
                  <w14:solidFill>
                    <w14:schemeClr w14:val="tx1"/>
                  </w14:solidFill>
                </w14:textFill>
              </w:rPr>
            </w:pPr>
          </w:p>
        </w:tc>
        <w:tc>
          <w:tcPr>
            <w:tcW w:w="534"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3"/>
                <w:szCs w:val="13"/>
                <w:highlight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9" w:hRule="atLeast"/>
        </w:trPr>
        <w:tc>
          <w:tcPr>
            <w:tcW w:w="10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14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5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42"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5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9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5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9" w:hRule="atLeast"/>
        </w:trPr>
        <w:tc>
          <w:tcPr>
            <w:tcW w:w="10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14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5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42"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5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9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5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16" w:hRule="atLeast"/>
        </w:trPr>
        <w:tc>
          <w:tcPr>
            <w:tcW w:w="1069" w:type="dxa"/>
            <w:vMerge w:val="restar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eastAsia="宋体"/>
                <w:color w:val="000000" w:themeColor="text1"/>
                <w:sz w:val="21"/>
                <w:szCs w:val="20"/>
                <w:highlight w:val="none"/>
                <w:lang w:eastAsia="zh-CN"/>
                <w14:textFill>
                  <w14:solidFill>
                    <w14:schemeClr w14:val="tx1"/>
                  </w14:solidFill>
                </w14:textFill>
              </w:rPr>
            </w:pPr>
            <w:r>
              <w:rPr>
                <w:rFonts w:ascii="宋体" w:hAnsi="宋体" w:eastAsia="宋体" w:cs="宋体"/>
                <w:b/>
                <w:color w:val="000000" w:themeColor="text1"/>
                <w:sz w:val="18"/>
                <w:szCs w:val="20"/>
                <w:highlight w:val="none"/>
                <w14:textFill>
                  <w14:solidFill>
                    <w14:schemeClr w14:val="tx1"/>
                  </w14:solidFill>
                </w14:textFill>
              </w:rPr>
              <w:t>合计</w:t>
            </w:r>
            <w:r>
              <w:rPr>
                <w:rFonts w:hint="eastAsia" w:ascii="宋体" w:hAnsi="宋体" w:eastAsia="宋体" w:cs="宋体"/>
                <w:b/>
                <w:color w:val="000000" w:themeColor="text1"/>
                <w:sz w:val="18"/>
                <w:szCs w:val="20"/>
                <w:highlight w:val="none"/>
                <w:lang w:eastAsia="zh-CN"/>
                <w14:textFill>
                  <w14:solidFill>
                    <w14:schemeClr w14:val="tx1"/>
                  </w14:solidFill>
                </w14:textFill>
              </w:rPr>
              <w:t>：</w:t>
            </w:r>
          </w:p>
        </w:tc>
        <w:tc>
          <w:tcPr>
            <w:tcW w:w="4896" w:type="dxa"/>
            <w:gridSpan w:val="7"/>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w:t>
            </w:r>
            <w:r>
              <w:rPr>
                <w:rFonts w:hint="eastAsia" w:ascii="宋体" w:hAnsi="宋体" w:eastAsia="宋体" w:cs="宋体"/>
                <w:b/>
                <w:color w:val="000000" w:themeColor="text1"/>
                <w:sz w:val="18"/>
                <w:szCs w:val="20"/>
                <w:highlight w:val="none"/>
                <w:lang w:eastAsia="zh-CN"/>
                <w14:textFill>
                  <w14:solidFill>
                    <w14:schemeClr w14:val="tx1"/>
                  </w14:solidFill>
                </w14:textFill>
              </w:rPr>
              <w:t>不</w:t>
            </w:r>
            <w:r>
              <w:rPr>
                <w:rFonts w:hint="eastAsia" w:ascii="宋体" w:hAnsi="宋体" w:eastAsia="宋体" w:cs="宋体"/>
                <w:b/>
                <w:color w:val="000000" w:themeColor="text1"/>
                <w:sz w:val="18"/>
                <w:szCs w:val="20"/>
                <w:highlight w:val="none"/>
                <w14:textFill>
                  <w14:solidFill>
                    <w14:schemeClr w14:val="tx1"/>
                  </w14:solidFill>
                </w14:textFill>
              </w:rPr>
              <w:t>含税大写）</w:t>
            </w:r>
          </w:p>
        </w:tc>
        <w:tc>
          <w:tcPr>
            <w:tcW w:w="4478" w:type="dxa"/>
            <w:gridSpan w:val="6"/>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w:t>
            </w:r>
            <w:r>
              <w:rPr>
                <w:rFonts w:hint="eastAsia" w:ascii="宋体" w:hAnsi="宋体" w:eastAsia="宋体" w:cs="宋体"/>
                <w:b/>
                <w:color w:val="000000" w:themeColor="text1"/>
                <w:sz w:val="18"/>
                <w:szCs w:val="20"/>
                <w:highlight w:val="none"/>
                <w:lang w:eastAsia="zh-CN"/>
                <w14:textFill>
                  <w14:solidFill>
                    <w14:schemeClr w14:val="tx1"/>
                  </w14:solidFill>
                </w14:textFill>
              </w:rPr>
              <w:t>不</w:t>
            </w:r>
            <w:r>
              <w:rPr>
                <w:rFonts w:hint="eastAsia" w:ascii="宋体" w:hAnsi="宋体" w:eastAsia="宋体" w:cs="宋体"/>
                <w:b/>
                <w:color w:val="000000" w:themeColor="text1"/>
                <w:sz w:val="18"/>
                <w:szCs w:val="20"/>
                <w:highlight w:val="none"/>
                <w14:textFill>
                  <w14:solidFill>
                    <w14:schemeClr w14:val="tx1"/>
                  </w14:solidFill>
                </w14:textFill>
              </w:rPr>
              <w:t>含税小写）</w:t>
            </w: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1069" w:type="dxa"/>
            <w:vMerge w:val="continue"/>
            <w:tcBorders>
              <w:top w:val="single" w:color="000000" w:sz="8" w:space="0"/>
              <w:left w:val="single" w:color="000000" w:sz="8" w:space="0"/>
              <w:bottom w:val="single" w:color="000000" w:sz="8" w:space="0"/>
              <w:right w:val="single" w:color="000000" w:sz="8" w:space="0"/>
            </w:tcBorders>
          </w:tcPr>
          <w:p>
            <w:pPr>
              <w:keepNext w:val="0"/>
              <w:keepLines w:val="0"/>
              <w:pageBreakBefore w:val="0"/>
              <w:widowControl w:val="0"/>
              <w:kinsoku/>
              <w:wordWrap/>
              <w:overflowPunct/>
              <w:topLinePunct w:val="0"/>
              <w:autoSpaceDE/>
              <w:autoSpaceDN/>
              <w:bidi w:val="0"/>
              <w:adjustRightInd/>
              <w:snapToGrid/>
              <w:spacing w:line="280" w:lineRule="exact"/>
              <w:textAlignment w:val="auto"/>
              <w:rPr>
                <w:color w:val="000000" w:themeColor="text1"/>
                <w:sz w:val="18"/>
                <w:szCs w:val="20"/>
                <w:highlight w:val="none"/>
                <w14:textFill>
                  <w14:solidFill>
                    <w14:schemeClr w14:val="tx1"/>
                  </w14:solidFill>
                </w14:textFill>
              </w:rPr>
            </w:pPr>
          </w:p>
        </w:tc>
        <w:tc>
          <w:tcPr>
            <w:tcW w:w="4896" w:type="dxa"/>
            <w:gridSpan w:val="7"/>
            <w:tcBorders>
              <w:top w:val="single" w:color="000000" w:sz="8" w:space="0"/>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总金额人民币（含税大写）</w:t>
            </w:r>
          </w:p>
        </w:tc>
        <w:tc>
          <w:tcPr>
            <w:tcW w:w="4478" w:type="dxa"/>
            <w:gridSpan w:val="6"/>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宋体"/>
                <w:b/>
                <w:color w:val="000000" w:themeColor="text1"/>
                <w:sz w:val="18"/>
                <w:szCs w:val="20"/>
                <w:highlight w:val="none"/>
                <w:lang w:val="en-US" w:eastAsia="zh-CN"/>
                <w14:textFill>
                  <w14:solidFill>
                    <w14:schemeClr w14:val="tx1"/>
                  </w14:solidFill>
                </w14:textFill>
              </w:rPr>
            </w:pPr>
            <w:r>
              <w:rPr>
                <w:rFonts w:hint="eastAsia" w:ascii="宋体" w:hAnsi="宋体" w:eastAsia="宋体" w:cs="宋体"/>
                <w:b/>
                <w:color w:val="000000" w:themeColor="text1"/>
                <w:sz w:val="18"/>
                <w:szCs w:val="20"/>
                <w:highlight w:val="none"/>
                <w:lang w:val="en-US" w:eastAsia="zh-CN"/>
                <w14:textFill>
                  <w14:solidFill>
                    <w14:schemeClr w14:val="tx1"/>
                  </w14:solidFill>
                </w14:textFill>
              </w:rPr>
              <w:t>总金额人民币（含税小写）</w:t>
            </w:r>
          </w:p>
        </w:tc>
      </w:tr>
    </w:tbl>
    <w:p>
      <w:pPr>
        <w:keepNext w:val="0"/>
        <w:keepLines w:val="0"/>
        <w:pageBreakBefore w:val="0"/>
        <w:widowControl w:val="0"/>
        <w:kinsoku/>
        <w:wordWrap/>
        <w:overflowPunct/>
        <w:topLinePunct w:val="0"/>
        <w:autoSpaceDE/>
        <w:autoSpaceDN/>
        <w:bidi w:val="0"/>
        <w:adjustRightInd/>
        <w:snapToGrid/>
        <w:spacing w:line="280" w:lineRule="exact"/>
        <w:ind w:firstLine="420" w:firstLineChars="0"/>
        <w:jc w:val="both"/>
        <w:textAlignment w:val="auto"/>
        <w:rPr>
          <w:rFonts w:hint="default" w:ascii="Times New Roman" w:hAnsi="Times New Roman" w:eastAsia="宋体" w:cs="Times New Roman"/>
          <w:color w:val="000000" w:themeColor="text1"/>
          <w:spacing w:val="-3"/>
          <w:sz w:val="21"/>
          <w:szCs w:val="21"/>
          <w:highlight w:val="none"/>
          <w:u w:val="none"/>
          <w:lang w:val="en-US" w:eastAsia="zh-CN"/>
          <w14:textFill>
            <w14:solidFill>
              <w14:schemeClr w14:val="tx1"/>
            </w14:solidFill>
          </w14:textFill>
        </w:rPr>
      </w:pPr>
      <w:r>
        <w:rPr>
          <w:rFonts w:hint="eastAsia" w:ascii="Times New Roman" w:hAnsi="Times New Roman" w:eastAsia="宋体" w:cs="Times New Roman"/>
          <w:color w:val="000000" w:themeColor="text1"/>
          <w:spacing w:val="-3"/>
          <w:sz w:val="21"/>
          <w:szCs w:val="21"/>
          <w:highlight w:val="none"/>
          <w:u w:val="none"/>
          <w:lang w:val="en-US" w:eastAsia="zh-CN"/>
          <w14:textFill>
            <w14:solidFill>
              <w14:schemeClr w14:val="tx1"/>
            </w14:solidFill>
          </w14:textFill>
        </w:rPr>
        <w:t>备注：以上含税单价包括产品的运费、包装费、保险费、技术服务费等与本次采购有关的一切所需费用及税金（运费、包装费、保险费、技术服务费等单独约定的除外）。具体数量以实际发生为准。</w:t>
      </w:r>
    </w:p>
    <w:sectPr>
      <w:pgSz w:w="11906" w:h="16838"/>
      <w:pgMar w:top="567" w:right="567" w:bottom="567" w:left="567" w:header="851" w:footer="992" w:gutter="0"/>
      <w:pgBorders>
        <w:top w:val="none" w:sz="0" w:space="0"/>
        <w:left w:val="none" w:sz="0" w:space="0"/>
        <w:bottom w:val="none" w:sz="0" w:space="0"/>
        <w:right w:val="none" w:sz="0" w:space="0"/>
      </w:pgBorders>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2"/>
    <w:family w:val="auto"/>
    <w:pitch w:val="default"/>
    <w:sig w:usb0="00000000" w:usb1="00000000" w:usb2="00000000" w:usb3="00000000" w:csb0="8000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051"/>
    <w:rsid w:val="00165C7F"/>
    <w:rsid w:val="00493051"/>
    <w:rsid w:val="006A175F"/>
    <w:rsid w:val="00773664"/>
    <w:rsid w:val="007A784F"/>
    <w:rsid w:val="00950482"/>
    <w:rsid w:val="009C512B"/>
    <w:rsid w:val="00A31767"/>
    <w:rsid w:val="0117593A"/>
    <w:rsid w:val="011937D7"/>
    <w:rsid w:val="01A00C4B"/>
    <w:rsid w:val="01DC5FD5"/>
    <w:rsid w:val="029254F2"/>
    <w:rsid w:val="02F3030A"/>
    <w:rsid w:val="02F875A2"/>
    <w:rsid w:val="03185299"/>
    <w:rsid w:val="03196E61"/>
    <w:rsid w:val="03231B33"/>
    <w:rsid w:val="032B7DBE"/>
    <w:rsid w:val="03305272"/>
    <w:rsid w:val="035148F2"/>
    <w:rsid w:val="03CA6453"/>
    <w:rsid w:val="045D5BC2"/>
    <w:rsid w:val="04AD08DA"/>
    <w:rsid w:val="04B14F1D"/>
    <w:rsid w:val="054D10EA"/>
    <w:rsid w:val="05814FD7"/>
    <w:rsid w:val="05A44CA7"/>
    <w:rsid w:val="05DC421B"/>
    <w:rsid w:val="06652463"/>
    <w:rsid w:val="06691F53"/>
    <w:rsid w:val="068E48F7"/>
    <w:rsid w:val="069B1F8D"/>
    <w:rsid w:val="06B331CE"/>
    <w:rsid w:val="06D82C35"/>
    <w:rsid w:val="072440CC"/>
    <w:rsid w:val="074B78AB"/>
    <w:rsid w:val="07542753"/>
    <w:rsid w:val="07BC60B3"/>
    <w:rsid w:val="07E66F84"/>
    <w:rsid w:val="08901A19"/>
    <w:rsid w:val="089662E1"/>
    <w:rsid w:val="08B43E5E"/>
    <w:rsid w:val="09137F54"/>
    <w:rsid w:val="091C01AA"/>
    <w:rsid w:val="09267C87"/>
    <w:rsid w:val="098470A4"/>
    <w:rsid w:val="09A82D92"/>
    <w:rsid w:val="09E40604"/>
    <w:rsid w:val="0A1E4E03"/>
    <w:rsid w:val="0A252635"/>
    <w:rsid w:val="0A522CFE"/>
    <w:rsid w:val="0A9B1EDA"/>
    <w:rsid w:val="0AC13C77"/>
    <w:rsid w:val="0AD93C88"/>
    <w:rsid w:val="0B40056B"/>
    <w:rsid w:val="0B81389B"/>
    <w:rsid w:val="0BCB43B9"/>
    <w:rsid w:val="0BF945B1"/>
    <w:rsid w:val="0C0A79EC"/>
    <w:rsid w:val="0C1B3CF0"/>
    <w:rsid w:val="0C220161"/>
    <w:rsid w:val="0C264442"/>
    <w:rsid w:val="0CE916F8"/>
    <w:rsid w:val="0D4217AD"/>
    <w:rsid w:val="0D63594E"/>
    <w:rsid w:val="0D646FD0"/>
    <w:rsid w:val="0DA043BC"/>
    <w:rsid w:val="0E6F20D1"/>
    <w:rsid w:val="0E6F3E7F"/>
    <w:rsid w:val="0E8A3AD7"/>
    <w:rsid w:val="0ED02289"/>
    <w:rsid w:val="0EF56A7A"/>
    <w:rsid w:val="0F2A1E48"/>
    <w:rsid w:val="0FC14EC7"/>
    <w:rsid w:val="10780801"/>
    <w:rsid w:val="108A31F2"/>
    <w:rsid w:val="10B83FE5"/>
    <w:rsid w:val="10B9632C"/>
    <w:rsid w:val="10BB33AB"/>
    <w:rsid w:val="110C00AB"/>
    <w:rsid w:val="1113541C"/>
    <w:rsid w:val="112F66F0"/>
    <w:rsid w:val="115832F0"/>
    <w:rsid w:val="119F4A7B"/>
    <w:rsid w:val="11B70FDB"/>
    <w:rsid w:val="11C268CC"/>
    <w:rsid w:val="11DE7AD8"/>
    <w:rsid w:val="11EE77B0"/>
    <w:rsid w:val="11F66277"/>
    <w:rsid w:val="120A44BB"/>
    <w:rsid w:val="125D103B"/>
    <w:rsid w:val="12A460C1"/>
    <w:rsid w:val="12C624DB"/>
    <w:rsid w:val="12D6260F"/>
    <w:rsid w:val="13224198"/>
    <w:rsid w:val="13272953"/>
    <w:rsid w:val="132F5D4D"/>
    <w:rsid w:val="13826402"/>
    <w:rsid w:val="13A24CF6"/>
    <w:rsid w:val="13A45FA7"/>
    <w:rsid w:val="13AD4DEB"/>
    <w:rsid w:val="13B16CE7"/>
    <w:rsid w:val="13E2394F"/>
    <w:rsid w:val="13E470BD"/>
    <w:rsid w:val="14425824"/>
    <w:rsid w:val="144933C4"/>
    <w:rsid w:val="14530CC9"/>
    <w:rsid w:val="145D36A2"/>
    <w:rsid w:val="147068D6"/>
    <w:rsid w:val="14907C28"/>
    <w:rsid w:val="14A66120"/>
    <w:rsid w:val="14F8762A"/>
    <w:rsid w:val="15227E9D"/>
    <w:rsid w:val="15A2691F"/>
    <w:rsid w:val="15D02202"/>
    <w:rsid w:val="15E338E5"/>
    <w:rsid w:val="15FA088E"/>
    <w:rsid w:val="17481711"/>
    <w:rsid w:val="17A25B03"/>
    <w:rsid w:val="17DF5389"/>
    <w:rsid w:val="17F3167D"/>
    <w:rsid w:val="1811244B"/>
    <w:rsid w:val="18251831"/>
    <w:rsid w:val="18297794"/>
    <w:rsid w:val="18581E27"/>
    <w:rsid w:val="186B1E7B"/>
    <w:rsid w:val="18F27B86"/>
    <w:rsid w:val="191C2E55"/>
    <w:rsid w:val="19311F43"/>
    <w:rsid w:val="19960E59"/>
    <w:rsid w:val="1A506D0F"/>
    <w:rsid w:val="1A8E647E"/>
    <w:rsid w:val="1A9D5123"/>
    <w:rsid w:val="1AA41354"/>
    <w:rsid w:val="1AAB5DE3"/>
    <w:rsid w:val="1B102545"/>
    <w:rsid w:val="1B710915"/>
    <w:rsid w:val="1BC91871"/>
    <w:rsid w:val="1C1C4F1A"/>
    <w:rsid w:val="1C257E23"/>
    <w:rsid w:val="1C4A5F2B"/>
    <w:rsid w:val="1CA564FD"/>
    <w:rsid w:val="1CB32A28"/>
    <w:rsid w:val="1CF07EF0"/>
    <w:rsid w:val="1CF2364A"/>
    <w:rsid w:val="1D1125A5"/>
    <w:rsid w:val="1D5A3F4C"/>
    <w:rsid w:val="1D663D14"/>
    <w:rsid w:val="1DA23161"/>
    <w:rsid w:val="1DB63878"/>
    <w:rsid w:val="1DCC309C"/>
    <w:rsid w:val="1DD00E08"/>
    <w:rsid w:val="1E414295"/>
    <w:rsid w:val="1E677B8F"/>
    <w:rsid w:val="1EAF02C7"/>
    <w:rsid w:val="1ED65854"/>
    <w:rsid w:val="1EF009BC"/>
    <w:rsid w:val="1F5D0F42"/>
    <w:rsid w:val="1FAF67D1"/>
    <w:rsid w:val="1FD37FAB"/>
    <w:rsid w:val="200E550E"/>
    <w:rsid w:val="20112FE8"/>
    <w:rsid w:val="2027280B"/>
    <w:rsid w:val="204809D3"/>
    <w:rsid w:val="20610D4F"/>
    <w:rsid w:val="20A36BDD"/>
    <w:rsid w:val="20F546B7"/>
    <w:rsid w:val="2120725A"/>
    <w:rsid w:val="216830DB"/>
    <w:rsid w:val="216B27F8"/>
    <w:rsid w:val="216C3BFB"/>
    <w:rsid w:val="219A700D"/>
    <w:rsid w:val="226D4721"/>
    <w:rsid w:val="228C2DF9"/>
    <w:rsid w:val="22AC524A"/>
    <w:rsid w:val="22F453DF"/>
    <w:rsid w:val="22F83CBB"/>
    <w:rsid w:val="23177672"/>
    <w:rsid w:val="232B2612"/>
    <w:rsid w:val="23CE7442"/>
    <w:rsid w:val="23DC475D"/>
    <w:rsid w:val="241A0B5A"/>
    <w:rsid w:val="24612064"/>
    <w:rsid w:val="24A3442A"/>
    <w:rsid w:val="254C061E"/>
    <w:rsid w:val="255372EC"/>
    <w:rsid w:val="256B2413"/>
    <w:rsid w:val="25FD7B6A"/>
    <w:rsid w:val="261267D2"/>
    <w:rsid w:val="265B78F9"/>
    <w:rsid w:val="26661BB3"/>
    <w:rsid w:val="269009DE"/>
    <w:rsid w:val="26B44AF3"/>
    <w:rsid w:val="26D7485F"/>
    <w:rsid w:val="275513EA"/>
    <w:rsid w:val="279E609D"/>
    <w:rsid w:val="27AA4D24"/>
    <w:rsid w:val="27EF7487"/>
    <w:rsid w:val="289F2A32"/>
    <w:rsid w:val="28C469E4"/>
    <w:rsid w:val="28E441EA"/>
    <w:rsid w:val="29142131"/>
    <w:rsid w:val="297D16EE"/>
    <w:rsid w:val="2987354C"/>
    <w:rsid w:val="29963BF5"/>
    <w:rsid w:val="2A110088"/>
    <w:rsid w:val="2A157B78"/>
    <w:rsid w:val="2A1931AE"/>
    <w:rsid w:val="2A476B35"/>
    <w:rsid w:val="2AB949A8"/>
    <w:rsid w:val="2B4C6576"/>
    <w:rsid w:val="2C5A1872"/>
    <w:rsid w:val="2CEF46B1"/>
    <w:rsid w:val="2D0A1E46"/>
    <w:rsid w:val="2D8F424F"/>
    <w:rsid w:val="2DA37249"/>
    <w:rsid w:val="2E011250"/>
    <w:rsid w:val="2E352597"/>
    <w:rsid w:val="2E7E49CF"/>
    <w:rsid w:val="2E894691"/>
    <w:rsid w:val="2EF51D26"/>
    <w:rsid w:val="2F385AC3"/>
    <w:rsid w:val="2F3A3BDD"/>
    <w:rsid w:val="2F5B602D"/>
    <w:rsid w:val="2F713AA3"/>
    <w:rsid w:val="2F7E1D1C"/>
    <w:rsid w:val="2F963509"/>
    <w:rsid w:val="2F9B28CE"/>
    <w:rsid w:val="2FA86931"/>
    <w:rsid w:val="30062ABE"/>
    <w:rsid w:val="304E0B54"/>
    <w:rsid w:val="3059003E"/>
    <w:rsid w:val="30714674"/>
    <w:rsid w:val="30A25EDE"/>
    <w:rsid w:val="30D55104"/>
    <w:rsid w:val="30F009F7"/>
    <w:rsid w:val="319121DA"/>
    <w:rsid w:val="319B351B"/>
    <w:rsid w:val="31AF2660"/>
    <w:rsid w:val="31F61190"/>
    <w:rsid w:val="329F4483"/>
    <w:rsid w:val="32A855FB"/>
    <w:rsid w:val="33A660C6"/>
    <w:rsid w:val="33C532DE"/>
    <w:rsid w:val="33CA78CD"/>
    <w:rsid w:val="34005B17"/>
    <w:rsid w:val="34C44675"/>
    <w:rsid w:val="3592554A"/>
    <w:rsid w:val="359C73A0"/>
    <w:rsid w:val="35BD76DA"/>
    <w:rsid w:val="35BE0417"/>
    <w:rsid w:val="35E01E6A"/>
    <w:rsid w:val="362F3205"/>
    <w:rsid w:val="36397EA6"/>
    <w:rsid w:val="36480E78"/>
    <w:rsid w:val="365612FD"/>
    <w:rsid w:val="368F2A06"/>
    <w:rsid w:val="36D87B2D"/>
    <w:rsid w:val="36F6663C"/>
    <w:rsid w:val="3745296E"/>
    <w:rsid w:val="374D654E"/>
    <w:rsid w:val="37620D9E"/>
    <w:rsid w:val="37DD476B"/>
    <w:rsid w:val="37EA2644"/>
    <w:rsid w:val="38341B11"/>
    <w:rsid w:val="38514471"/>
    <w:rsid w:val="3858329B"/>
    <w:rsid w:val="3882287D"/>
    <w:rsid w:val="38C43E25"/>
    <w:rsid w:val="38CF35E8"/>
    <w:rsid w:val="38DC4C94"/>
    <w:rsid w:val="392165FC"/>
    <w:rsid w:val="39362D77"/>
    <w:rsid w:val="39565AB7"/>
    <w:rsid w:val="397544B2"/>
    <w:rsid w:val="39F72DF7"/>
    <w:rsid w:val="3A0E7E92"/>
    <w:rsid w:val="3A1907EE"/>
    <w:rsid w:val="3A255BB6"/>
    <w:rsid w:val="3A856654"/>
    <w:rsid w:val="3A93495F"/>
    <w:rsid w:val="3ABA6F29"/>
    <w:rsid w:val="3ABC194A"/>
    <w:rsid w:val="3AEA4709"/>
    <w:rsid w:val="3B7019AF"/>
    <w:rsid w:val="3B7C5E95"/>
    <w:rsid w:val="3BED23FD"/>
    <w:rsid w:val="3BFF7393"/>
    <w:rsid w:val="3C0504F6"/>
    <w:rsid w:val="3C0E2BED"/>
    <w:rsid w:val="3C1C0729"/>
    <w:rsid w:val="3C4D31A2"/>
    <w:rsid w:val="3CB43221"/>
    <w:rsid w:val="3D0D7D86"/>
    <w:rsid w:val="3D1D0DC6"/>
    <w:rsid w:val="3D78424E"/>
    <w:rsid w:val="3D907C9C"/>
    <w:rsid w:val="3DA07301"/>
    <w:rsid w:val="3E4B3BB9"/>
    <w:rsid w:val="3E546A69"/>
    <w:rsid w:val="3EBB72A9"/>
    <w:rsid w:val="3FE47979"/>
    <w:rsid w:val="40707A2D"/>
    <w:rsid w:val="40853973"/>
    <w:rsid w:val="409B697D"/>
    <w:rsid w:val="40A602F0"/>
    <w:rsid w:val="40B530C4"/>
    <w:rsid w:val="40E04C65"/>
    <w:rsid w:val="410B53D9"/>
    <w:rsid w:val="41706BB5"/>
    <w:rsid w:val="41847666"/>
    <w:rsid w:val="41AD4EDA"/>
    <w:rsid w:val="41B35408"/>
    <w:rsid w:val="4255678B"/>
    <w:rsid w:val="42AD499A"/>
    <w:rsid w:val="42EF5DB0"/>
    <w:rsid w:val="4309165C"/>
    <w:rsid w:val="4397166E"/>
    <w:rsid w:val="440420EC"/>
    <w:rsid w:val="4439400C"/>
    <w:rsid w:val="450D1D2B"/>
    <w:rsid w:val="45237196"/>
    <w:rsid w:val="4543176B"/>
    <w:rsid w:val="45941E41"/>
    <w:rsid w:val="45C64F3E"/>
    <w:rsid w:val="461D5993"/>
    <w:rsid w:val="462036D5"/>
    <w:rsid w:val="46760E44"/>
    <w:rsid w:val="46AC0FEB"/>
    <w:rsid w:val="46C93D3E"/>
    <w:rsid w:val="47084895"/>
    <w:rsid w:val="4800556C"/>
    <w:rsid w:val="48150653"/>
    <w:rsid w:val="486D6730"/>
    <w:rsid w:val="48A04659"/>
    <w:rsid w:val="48A227F4"/>
    <w:rsid w:val="49597D95"/>
    <w:rsid w:val="49EF7646"/>
    <w:rsid w:val="4A07260B"/>
    <w:rsid w:val="4A0D6E90"/>
    <w:rsid w:val="4A285092"/>
    <w:rsid w:val="4A5A69D6"/>
    <w:rsid w:val="4AD93E52"/>
    <w:rsid w:val="4B1B446B"/>
    <w:rsid w:val="4B247E30"/>
    <w:rsid w:val="4B4D3CCF"/>
    <w:rsid w:val="4B673E2B"/>
    <w:rsid w:val="4BD905AE"/>
    <w:rsid w:val="4BFC24EE"/>
    <w:rsid w:val="4C2E4820"/>
    <w:rsid w:val="4CB87C49"/>
    <w:rsid w:val="4CD62BC6"/>
    <w:rsid w:val="4CDB2104"/>
    <w:rsid w:val="4D0F5CA3"/>
    <w:rsid w:val="4D21045F"/>
    <w:rsid w:val="4D265D99"/>
    <w:rsid w:val="4D317F76"/>
    <w:rsid w:val="4D555C7D"/>
    <w:rsid w:val="4DB1646D"/>
    <w:rsid w:val="4DB96D97"/>
    <w:rsid w:val="4DBF1A26"/>
    <w:rsid w:val="4E094A4F"/>
    <w:rsid w:val="4E0B62AA"/>
    <w:rsid w:val="4E152629"/>
    <w:rsid w:val="4E937E9B"/>
    <w:rsid w:val="4E9E6450"/>
    <w:rsid w:val="4EC72940"/>
    <w:rsid w:val="4EFD40E4"/>
    <w:rsid w:val="4F0F6435"/>
    <w:rsid w:val="4F18763F"/>
    <w:rsid w:val="4F193510"/>
    <w:rsid w:val="4FAA5872"/>
    <w:rsid w:val="4FFE0FF2"/>
    <w:rsid w:val="50970A38"/>
    <w:rsid w:val="50982DC8"/>
    <w:rsid w:val="509947B0"/>
    <w:rsid w:val="50F1639A"/>
    <w:rsid w:val="50F815B1"/>
    <w:rsid w:val="51121E6C"/>
    <w:rsid w:val="512978E2"/>
    <w:rsid w:val="515A7F54"/>
    <w:rsid w:val="51CB2EB0"/>
    <w:rsid w:val="51FD18BA"/>
    <w:rsid w:val="523B6EAF"/>
    <w:rsid w:val="528F19C6"/>
    <w:rsid w:val="52A03BD4"/>
    <w:rsid w:val="52E65410"/>
    <w:rsid w:val="53536E98"/>
    <w:rsid w:val="537B1F4B"/>
    <w:rsid w:val="537B6212"/>
    <w:rsid w:val="5396259A"/>
    <w:rsid w:val="53D07EA2"/>
    <w:rsid w:val="53D41815"/>
    <w:rsid w:val="54614EB3"/>
    <w:rsid w:val="54627EC3"/>
    <w:rsid w:val="54B07A61"/>
    <w:rsid w:val="555962BC"/>
    <w:rsid w:val="555E317E"/>
    <w:rsid w:val="55C06FF2"/>
    <w:rsid w:val="56075D18"/>
    <w:rsid w:val="560B3A5A"/>
    <w:rsid w:val="5672626B"/>
    <w:rsid w:val="568832FC"/>
    <w:rsid w:val="56C016CF"/>
    <w:rsid w:val="56C854A7"/>
    <w:rsid w:val="57711FE2"/>
    <w:rsid w:val="57A26B81"/>
    <w:rsid w:val="57E5652D"/>
    <w:rsid w:val="58005C2D"/>
    <w:rsid w:val="581D5CC6"/>
    <w:rsid w:val="582607EC"/>
    <w:rsid w:val="582F6999"/>
    <w:rsid w:val="585F1E3B"/>
    <w:rsid w:val="588C62A8"/>
    <w:rsid w:val="58E16365"/>
    <w:rsid w:val="58FA7DB6"/>
    <w:rsid w:val="594B184B"/>
    <w:rsid w:val="5AA1498D"/>
    <w:rsid w:val="5AAD0665"/>
    <w:rsid w:val="5AE36256"/>
    <w:rsid w:val="5B215ACE"/>
    <w:rsid w:val="5B2801FF"/>
    <w:rsid w:val="5BE217C9"/>
    <w:rsid w:val="5C82268E"/>
    <w:rsid w:val="5CAF158A"/>
    <w:rsid w:val="5CC42BB4"/>
    <w:rsid w:val="5D207EC8"/>
    <w:rsid w:val="5D787DD9"/>
    <w:rsid w:val="5D8C3942"/>
    <w:rsid w:val="5DD82FC8"/>
    <w:rsid w:val="5E0F1C0D"/>
    <w:rsid w:val="5E655CD1"/>
    <w:rsid w:val="5E7F197A"/>
    <w:rsid w:val="5EA66A16"/>
    <w:rsid w:val="5EA84545"/>
    <w:rsid w:val="5EF07967"/>
    <w:rsid w:val="5EF24CFC"/>
    <w:rsid w:val="5F2C67EF"/>
    <w:rsid w:val="5F3B6A32"/>
    <w:rsid w:val="5FF37E6D"/>
    <w:rsid w:val="604007A4"/>
    <w:rsid w:val="608464EF"/>
    <w:rsid w:val="60A56859"/>
    <w:rsid w:val="60B01E41"/>
    <w:rsid w:val="60BC7791"/>
    <w:rsid w:val="60F20140"/>
    <w:rsid w:val="60F5158E"/>
    <w:rsid w:val="60FB291D"/>
    <w:rsid w:val="61167757"/>
    <w:rsid w:val="61943A57"/>
    <w:rsid w:val="621F15B7"/>
    <w:rsid w:val="62CE1116"/>
    <w:rsid w:val="634C7460"/>
    <w:rsid w:val="63A469EA"/>
    <w:rsid w:val="63BE035D"/>
    <w:rsid w:val="641937E6"/>
    <w:rsid w:val="643E149E"/>
    <w:rsid w:val="64801660"/>
    <w:rsid w:val="65111AB6"/>
    <w:rsid w:val="65202952"/>
    <w:rsid w:val="65393018"/>
    <w:rsid w:val="65474383"/>
    <w:rsid w:val="657869E7"/>
    <w:rsid w:val="66091638"/>
    <w:rsid w:val="660D737A"/>
    <w:rsid w:val="662D17CA"/>
    <w:rsid w:val="66482160"/>
    <w:rsid w:val="667C08A9"/>
    <w:rsid w:val="66921745"/>
    <w:rsid w:val="67A94E81"/>
    <w:rsid w:val="67C972D1"/>
    <w:rsid w:val="6804655B"/>
    <w:rsid w:val="68212C69"/>
    <w:rsid w:val="68224C33"/>
    <w:rsid w:val="684828EC"/>
    <w:rsid w:val="686328AE"/>
    <w:rsid w:val="68784853"/>
    <w:rsid w:val="68C06926"/>
    <w:rsid w:val="68DC31DC"/>
    <w:rsid w:val="696D0DB3"/>
    <w:rsid w:val="69747710"/>
    <w:rsid w:val="69C441F4"/>
    <w:rsid w:val="6A167A07"/>
    <w:rsid w:val="6A276531"/>
    <w:rsid w:val="6A6238ED"/>
    <w:rsid w:val="6A9242F2"/>
    <w:rsid w:val="6AFC1413"/>
    <w:rsid w:val="6B1A2477"/>
    <w:rsid w:val="6B8B77E1"/>
    <w:rsid w:val="6B930322"/>
    <w:rsid w:val="6B9876E6"/>
    <w:rsid w:val="6BDA42E1"/>
    <w:rsid w:val="6BE87152"/>
    <w:rsid w:val="6C292A34"/>
    <w:rsid w:val="6C743503"/>
    <w:rsid w:val="6CCD388D"/>
    <w:rsid w:val="6CE07597"/>
    <w:rsid w:val="6CEA04E7"/>
    <w:rsid w:val="6CF30D25"/>
    <w:rsid w:val="6D1676CC"/>
    <w:rsid w:val="6D9B76E3"/>
    <w:rsid w:val="6DEA61F3"/>
    <w:rsid w:val="6E453094"/>
    <w:rsid w:val="6E723A91"/>
    <w:rsid w:val="6ECE01AD"/>
    <w:rsid w:val="6F085CC9"/>
    <w:rsid w:val="6F453898"/>
    <w:rsid w:val="6F5045D2"/>
    <w:rsid w:val="6FAF18A1"/>
    <w:rsid w:val="6FF84BF7"/>
    <w:rsid w:val="6FFB1610"/>
    <w:rsid w:val="700578F3"/>
    <w:rsid w:val="70167772"/>
    <w:rsid w:val="70480FAF"/>
    <w:rsid w:val="705347D0"/>
    <w:rsid w:val="706C1141"/>
    <w:rsid w:val="707E40EE"/>
    <w:rsid w:val="70932B72"/>
    <w:rsid w:val="70D0347E"/>
    <w:rsid w:val="71184E25"/>
    <w:rsid w:val="71306040"/>
    <w:rsid w:val="71620B0D"/>
    <w:rsid w:val="716409BA"/>
    <w:rsid w:val="71806175"/>
    <w:rsid w:val="71B2527A"/>
    <w:rsid w:val="72005FE5"/>
    <w:rsid w:val="7270316B"/>
    <w:rsid w:val="72CE60E3"/>
    <w:rsid w:val="72D477F2"/>
    <w:rsid w:val="7318110C"/>
    <w:rsid w:val="731D6723"/>
    <w:rsid w:val="734737A0"/>
    <w:rsid w:val="73920EBF"/>
    <w:rsid w:val="73B03DEB"/>
    <w:rsid w:val="73CC4D0D"/>
    <w:rsid w:val="744228E5"/>
    <w:rsid w:val="7472484C"/>
    <w:rsid w:val="748850B7"/>
    <w:rsid w:val="74E62003"/>
    <w:rsid w:val="74EF6EE4"/>
    <w:rsid w:val="754601B3"/>
    <w:rsid w:val="75931BD6"/>
    <w:rsid w:val="75B570E6"/>
    <w:rsid w:val="760C31AA"/>
    <w:rsid w:val="76124539"/>
    <w:rsid w:val="76236746"/>
    <w:rsid w:val="76487F5B"/>
    <w:rsid w:val="7654746C"/>
    <w:rsid w:val="766E26D2"/>
    <w:rsid w:val="76AF7FDA"/>
    <w:rsid w:val="77165CC7"/>
    <w:rsid w:val="7717683B"/>
    <w:rsid w:val="771F2467"/>
    <w:rsid w:val="775B5A6C"/>
    <w:rsid w:val="777B5D50"/>
    <w:rsid w:val="77AD4519"/>
    <w:rsid w:val="77B41BE7"/>
    <w:rsid w:val="77DA2E34"/>
    <w:rsid w:val="77EA7D99"/>
    <w:rsid w:val="784E22CE"/>
    <w:rsid w:val="78D522ED"/>
    <w:rsid w:val="78E26C69"/>
    <w:rsid w:val="795D3D1D"/>
    <w:rsid w:val="797A48CF"/>
    <w:rsid w:val="79D52F39"/>
    <w:rsid w:val="79D73ACF"/>
    <w:rsid w:val="79FA5A10"/>
    <w:rsid w:val="7A747570"/>
    <w:rsid w:val="7ABB519F"/>
    <w:rsid w:val="7AC94B95"/>
    <w:rsid w:val="7AE51EE2"/>
    <w:rsid w:val="7B4A46B1"/>
    <w:rsid w:val="7BDF0A19"/>
    <w:rsid w:val="7BE73D72"/>
    <w:rsid w:val="7BFC4C19"/>
    <w:rsid w:val="7CDE5175"/>
    <w:rsid w:val="7CE0713F"/>
    <w:rsid w:val="7CE31D1F"/>
    <w:rsid w:val="7CEF2BCD"/>
    <w:rsid w:val="7D0E2B49"/>
    <w:rsid w:val="7D656339"/>
    <w:rsid w:val="7D827CD7"/>
    <w:rsid w:val="7D8C6162"/>
    <w:rsid w:val="7E81225C"/>
    <w:rsid w:val="7EF908C6"/>
    <w:rsid w:val="7F297A55"/>
    <w:rsid w:val="7F2C5EF4"/>
    <w:rsid w:val="7F7870DB"/>
    <w:rsid w:val="7F8C7521"/>
    <w:rsid w:val="7FC05006"/>
    <w:rsid w:val="7FC60ED9"/>
    <w:rsid w:val="FDAD0A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lang w:val="en-US" w:eastAsia="en-US" w:bidi="ar-SA"/>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3">
    <w:name w:val="toc 7"/>
    <w:basedOn w:val="1"/>
    <w:next w:val="1"/>
    <w:unhideWhenUsed/>
    <w:qFormat/>
    <w:uiPriority w:val="39"/>
    <w:pPr>
      <w:spacing w:after="100"/>
      <w:ind w:left="1320"/>
    </w:pPr>
  </w:style>
  <w:style w:type="paragraph" w:styleId="4">
    <w:name w:val="annotation text"/>
    <w:basedOn w:val="1"/>
    <w:semiHidden/>
    <w:unhideWhenUsed/>
    <w:qFormat/>
    <w:uiPriority w:val="99"/>
    <w:pPr>
      <w:jc w:val="left"/>
    </w:pPr>
  </w:style>
  <w:style w:type="paragraph" w:styleId="5">
    <w:name w:val="toc 5"/>
    <w:basedOn w:val="1"/>
    <w:next w:val="1"/>
    <w:unhideWhenUsed/>
    <w:qFormat/>
    <w:uiPriority w:val="39"/>
    <w:pPr>
      <w:spacing w:after="100"/>
      <w:ind w:left="880"/>
    </w:pPr>
  </w:style>
  <w:style w:type="paragraph" w:styleId="6">
    <w:name w:val="toc 3"/>
    <w:basedOn w:val="1"/>
    <w:next w:val="1"/>
    <w:unhideWhenUsed/>
    <w:qFormat/>
    <w:uiPriority w:val="39"/>
    <w:pPr>
      <w:spacing w:after="100"/>
      <w:ind w:left="440"/>
    </w:pPr>
  </w:style>
  <w:style w:type="paragraph" w:styleId="7">
    <w:name w:val="toc 8"/>
    <w:basedOn w:val="1"/>
    <w:next w:val="1"/>
    <w:unhideWhenUsed/>
    <w:qFormat/>
    <w:uiPriority w:val="39"/>
    <w:pPr>
      <w:spacing w:after="100"/>
      <w:ind w:left="1540"/>
    </w:pPr>
  </w:style>
  <w:style w:type="paragraph" w:styleId="8">
    <w:name w:val="endnote text"/>
    <w:basedOn w:val="1"/>
    <w:link w:val="190"/>
    <w:semiHidden/>
    <w:unhideWhenUsed/>
    <w:qFormat/>
    <w:uiPriority w:val="99"/>
    <w:rPr>
      <w:sz w:val="20"/>
      <w:szCs w:val="20"/>
    </w:rPr>
  </w:style>
  <w:style w:type="paragraph" w:styleId="9">
    <w:name w:val="footer"/>
    <w:basedOn w:val="1"/>
    <w:link w:val="206"/>
    <w:unhideWhenUsed/>
    <w:qFormat/>
    <w:uiPriority w:val="99"/>
    <w:pPr>
      <w:tabs>
        <w:tab w:val="center" w:pos="4153"/>
        <w:tab w:val="right" w:pos="8306"/>
      </w:tabs>
      <w:snapToGrid w:val="0"/>
      <w:jc w:val="left"/>
    </w:pPr>
    <w:rPr>
      <w:sz w:val="18"/>
      <w:szCs w:val="18"/>
    </w:rPr>
  </w:style>
  <w:style w:type="paragraph" w:styleId="10">
    <w:name w:val="header"/>
    <w:basedOn w:val="1"/>
    <w:link w:val="205"/>
    <w:unhideWhenUsed/>
    <w:qFormat/>
    <w:uiPriority w:val="99"/>
    <w:pPr>
      <w:tabs>
        <w:tab w:val="center" w:pos="4153"/>
        <w:tab w:val="right" w:pos="8306"/>
      </w:tabs>
      <w:snapToGrid w:val="0"/>
      <w:jc w:val="center"/>
    </w:pPr>
    <w:rPr>
      <w:sz w:val="18"/>
      <w:szCs w:val="18"/>
    </w:rPr>
  </w:style>
  <w:style w:type="paragraph" w:styleId="11">
    <w:name w:val="toc 1"/>
    <w:basedOn w:val="1"/>
    <w:next w:val="1"/>
    <w:unhideWhenUsed/>
    <w:qFormat/>
    <w:uiPriority w:val="39"/>
    <w:pPr>
      <w:spacing w:after="100"/>
    </w:pPr>
  </w:style>
  <w:style w:type="paragraph" w:styleId="12">
    <w:name w:val="toc 4"/>
    <w:basedOn w:val="1"/>
    <w:next w:val="1"/>
    <w:unhideWhenUsed/>
    <w:qFormat/>
    <w:uiPriority w:val="39"/>
    <w:pPr>
      <w:spacing w:after="100"/>
      <w:ind w:left="660"/>
    </w:pPr>
  </w:style>
  <w:style w:type="paragraph" w:styleId="13">
    <w:name w:val="Subtitle"/>
    <w:basedOn w:val="1"/>
    <w:next w:val="1"/>
    <w:link w:val="172"/>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4">
    <w:name w:val="footnote text"/>
    <w:basedOn w:val="1"/>
    <w:link w:val="189"/>
    <w:semiHidden/>
    <w:unhideWhenUsed/>
    <w:qFormat/>
    <w:uiPriority w:val="99"/>
    <w:rPr>
      <w:sz w:val="20"/>
      <w:szCs w:val="20"/>
    </w:rPr>
  </w:style>
  <w:style w:type="paragraph" w:styleId="15">
    <w:name w:val="toc 6"/>
    <w:basedOn w:val="1"/>
    <w:next w:val="1"/>
    <w:unhideWhenUsed/>
    <w:qFormat/>
    <w:uiPriority w:val="39"/>
    <w:pPr>
      <w:spacing w:after="100"/>
      <w:ind w:left="1100"/>
    </w:pPr>
  </w:style>
  <w:style w:type="paragraph" w:styleId="16">
    <w:name w:val="table of figures"/>
    <w:basedOn w:val="1"/>
    <w:next w:val="1"/>
    <w:unhideWhenUsed/>
    <w:qFormat/>
    <w:uiPriority w:val="99"/>
  </w:style>
  <w:style w:type="paragraph" w:styleId="17">
    <w:name w:val="toc 2"/>
    <w:basedOn w:val="1"/>
    <w:next w:val="1"/>
    <w:unhideWhenUsed/>
    <w:qFormat/>
    <w:uiPriority w:val="39"/>
    <w:pPr>
      <w:spacing w:after="100"/>
      <w:ind w:left="220"/>
    </w:pPr>
  </w:style>
  <w:style w:type="paragraph" w:styleId="18">
    <w:name w:val="toc 9"/>
    <w:basedOn w:val="1"/>
    <w:next w:val="1"/>
    <w:unhideWhenUsed/>
    <w:qFormat/>
    <w:uiPriority w:val="39"/>
    <w:pPr>
      <w:spacing w:after="100"/>
      <w:ind w:left="1760"/>
    </w:pPr>
  </w:style>
  <w:style w:type="paragraph" w:styleId="19">
    <w:name w:val="Title"/>
    <w:basedOn w:val="1"/>
    <w:next w:val="1"/>
    <w:link w:val="171"/>
    <w:qFormat/>
    <w:uiPriority w:val="10"/>
    <w:pPr>
      <w:spacing w:after="80"/>
      <w:contextualSpacing/>
    </w:pPr>
    <w:rPr>
      <w:rFonts w:ascii="Arial" w:hAnsi="Arial" w:eastAsia="Arial" w:cs="Arial"/>
      <w:spacing w:val="-10"/>
      <w:sz w:val="56"/>
      <w:szCs w:val="56"/>
    </w:rPr>
  </w:style>
  <w:style w:type="table" w:styleId="21">
    <w:name w:val="Table Grid"/>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
    <w:name w:val="Strong"/>
    <w:basedOn w:val="22"/>
    <w:qFormat/>
    <w:uiPriority w:val="22"/>
    <w:rPr>
      <w:b/>
      <w:bCs/>
    </w:rPr>
  </w:style>
  <w:style w:type="character" w:styleId="24">
    <w:name w:val="endnote reference"/>
    <w:basedOn w:val="22"/>
    <w:semiHidden/>
    <w:unhideWhenUsed/>
    <w:qFormat/>
    <w:uiPriority w:val="99"/>
    <w:rPr>
      <w:vertAlign w:val="superscript"/>
    </w:rPr>
  </w:style>
  <w:style w:type="character" w:styleId="25">
    <w:name w:val="FollowedHyperlink"/>
    <w:basedOn w:val="22"/>
    <w:semiHidden/>
    <w:unhideWhenUsed/>
    <w:qFormat/>
    <w:uiPriority w:val="99"/>
    <w:rPr>
      <w:color w:val="954F72" w:themeColor="followedHyperlink"/>
      <w:u w:val="single"/>
      <w14:textFill>
        <w14:solidFill>
          <w14:schemeClr w14:val="folHlink"/>
        </w14:solidFill>
      </w14:textFill>
    </w:rPr>
  </w:style>
  <w:style w:type="character" w:styleId="26">
    <w:name w:val="Emphasis"/>
    <w:basedOn w:val="22"/>
    <w:qFormat/>
    <w:uiPriority w:val="20"/>
    <w:rPr>
      <w:i/>
      <w:iCs/>
    </w:rPr>
  </w:style>
  <w:style w:type="character" w:styleId="27">
    <w:name w:val="Hyperlink"/>
    <w:basedOn w:val="22"/>
    <w:unhideWhenUsed/>
    <w:qFormat/>
    <w:uiPriority w:val="99"/>
    <w:rPr>
      <w:color w:val="0563C1" w:themeColor="hyperlink"/>
      <w:u w:val="single"/>
      <w14:textFill>
        <w14:solidFill>
          <w14:schemeClr w14:val="hlink"/>
        </w14:solidFill>
      </w14:textFill>
    </w:rPr>
  </w:style>
  <w:style w:type="character" w:styleId="28">
    <w:name w:val="footnote reference"/>
    <w:basedOn w:val="22"/>
    <w:semiHidden/>
    <w:unhideWhenUsed/>
    <w:qFormat/>
    <w:uiPriority w:val="99"/>
    <w:rPr>
      <w:vertAlign w:val="superscript"/>
    </w:rPr>
  </w:style>
  <w:style w:type="table" w:customStyle="1" w:styleId="29">
    <w:name w:val="Table Grid Light"/>
    <w:basedOn w:val="2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30">
    <w:name w:val="无格式表格 11"/>
    <w:basedOn w:val="2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1">
    <w:name w:val="无格式表格 21"/>
    <w:basedOn w:val="20"/>
    <w:qFormat/>
    <w:uiPriority w:val="59"/>
    <w:tblPr>
      <w:tblBorders>
        <w:top w:val="single" w:color="000000" w:themeColor="text1" w:sz="4" w:space="0"/>
        <w:bottom w:val="singl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32">
    <w:name w:val="无格式表格 31"/>
    <w:basedOn w:val="2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3">
    <w:name w:val="无格式表格 41"/>
    <w:basedOn w:val="2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4">
    <w:name w:val="无格式表格 51"/>
    <w:basedOn w:val="2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5">
    <w:name w:val="网格表 1 浅色1"/>
    <w:basedOn w:val="2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36">
    <w:name w:val="Grid Table 1 Light - Accent 1"/>
    <w:basedOn w:val="2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37">
    <w:name w:val="Grid Table 1 Light - Accent 2"/>
    <w:basedOn w:val="2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38">
    <w:name w:val="Grid Table 1 Light - Accent 3"/>
    <w:basedOn w:val="2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39">
    <w:name w:val="Grid Table 1 Light - Accent 4"/>
    <w:basedOn w:val="2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40">
    <w:name w:val="Grid Table 1 Light - Accent 5"/>
    <w:basedOn w:val="2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41">
    <w:name w:val="Grid Table 1 Light - Accent 6"/>
    <w:basedOn w:val="2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42">
    <w:name w:val="网格表 21"/>
    <w:basedOn w:val="2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3">
    <w:name w:val="Grid Table 2 - Accent 1"/>
    <w:basedOn w:val="2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44">
    <w:name w:val="Grid Table 2 - Accent 2"/>
    <w:basedOn w:val="2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45">
    <w:name w:val="Grid Table 2 - Accent 3"/>
    <w:basedOn w:val="2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46">
    <w:name w:val="Grid Table 2 - Accent 4"/>
    <w:basedOn w:val="2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47">
    <w:name w:val="Grid Table 2 - Accent 5"/>
    <w:basedOn w:val="20"/>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48">
    <w:name w:val="Grid Table 2 - Accent 6"/>
    <w:basedOn w:val="2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49">
    <w:name w:val="网格表 31"/>
    <w:basedOn w:val="2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0">
    <w:name w:val="Grid Table 3 - Accent 1"/>
    <w:basedOn w:val="2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51">
    <w:name w:val="Grid Table 3 - Accent 2"/>
    <w:basedOn w:val="2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2">
    <w:name w:val="Grid Table 3 - Accent 3"/>
    <w:basedOn w:val="2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3">
    <w:name w:val="Grid Table 3 - Accent 4"/>
    <w:basedOn w:val="2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4">
    <w:name w:val="Grid Table 3 - Accent 5"/>
    <w:basedOn w:val="20"/>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55">
    <w:name w:val="Grid Table 3 - Accent 6"/>
    <w:basedOn w:val="2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56">
    <w:name w:val="网格表 41"/>
    <w:basedOn w:val="2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4 - Accent 1"/>
    <w:basedOn w:val="20"/>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58">
    <w:name w:val="Grid Table 4 - Accent 2"/>
    <w:basedOn w:val="20"/>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9">
    <w:name w:val="Grid Table 4 - Accent 3"/>
    <w:basedOn w:val="20"/>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60">
    <w:name w:val="Grid Table 4 - Accent 4"/>
    <w:basedOn w:val="20"/>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61">
    <w:name w:val="Grid Table 4 - Accent 5"/>
    <w:basedOn w:val="20"/>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62">
    <w:name w:val="Grid Table 4 - Accent 6"/>
    <w:basedOn w:val="20"/>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3">
    <w:name w:val="网格表 5 深色1"/>
    <w:basedOn w:val="2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4">
    <w:name w:val="Grid Table 5 Dark- Accent 1"/>
    <w:basedOn w:val="2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65">
    <w:name w:val="Grid Table 5 Dark - Accent 2"/>
    <w:basedOn w:val="2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66">
    <w:name w:val="Grid Table 5 Dark - Accent 3"/>
    <w:basedOn w:val="2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67">
    <w:name w:val="Grid Table 5 Dark- Accent 4"/>
    <w:basedOn w:val="2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68">
    <w:name w:val="Grid Table 5 Dark - Accent 5"/>
    <w:basedOn w:val="2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69">
    <w:name w:val="Grid Table 5 Dark - Accent 6"/>
    <w:basedOn w:val="2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70">
    <w:name w:val="网格表 6 彩色1"/>
    <w:basedOn w:val="2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6 Colorful - Accent 1"/>
    <w:basedOn w:val="20"/>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72">
    <w:name w:val="Grid Table 6 Colorful - Accent 2"/>
    <w:basedOn w:val="2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3">
    <w:name w:val="Grid Table 6 Colorful - Accent 3"/>
    <w:basedOn w:val="20"/>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74">
    <w:name w:val="Grid Table 6 Colorful - Accent 4"/>
    <w:basedOn w:val="2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75">
    <w:name w:val="Grid Table 6 Colorful - Accent 5"/>
    <w:basedOn w:val="20"/>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76">
    <w:name w:val="Grid Table 6 Colorful - Accent 6"/>
    <w:basedOn w:val="20"/>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77">
    <w:name w:val="网格表 7 彩色1"/>
    <w:basedOn w:val="2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Grid Table 7 Colorful - Accent 1"/>
    <w:basedOn w:val="20"/>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79">
    <w:name w:val="Grid Table 7 Colorful - Accent 2"/>
    <w:basedOn w:val="20"/>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80">
    <w:name w:val="Grid Table 7 Colorful - Accent 3"/>
    <w:basedOn w:val="20"/>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81">
    <w:name w:val="Grid Table 7 Colorful - Accent 4"/>
    <w:basedOn w:val="20"/>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82">
    <w:name w:val="Grid Table 7 Colorful - Accent 5"/>
    <w:basedOn w:val="20"/>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83">
    <w:name w:val="Grid Table 7 Colorful - Accent 6"/>
    <w:basedOn w:val="20"/>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84">
    <w:name w:val="清单表 1 浅色1"/>
    <w:basedOn w:val="2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5">
    <w:name w:val="List Table 1 Light - Accent 1"/>
    <w:basedOn w:val="20"/>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86">
    <w:name w:val="List Table 1 Light - Accent 2"/>
    <w:basedOn w:val="20"/>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87">
    <w:name w:val="List Table 1 Light - Accent 3"/>
    <w:basedOn w:val="20"/>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88">
    <w:name w:val="List Table 1 Light - Accent 4"/>
    <w:basedOn w:val="20"/>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89">
    <w:name w:val="List Table 1 Light - Accent 5"/>
    <w:basedOn w:val="20"/>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90">
    <w:name w:val="List Table 1 Light - Accent 6"/>
    <w:basedOn w:val="20"/>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91">
    <w:name w:val="清单表 21"/>
    <w:basedOn w:val="2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2">
    <w:name w:val="List Table 2 - Accent 1"/>
    <w:basedOn w:val="20"/>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93">
    <w:name w:val="List Table 2 - Accent 2"/>
    <w:basedOn w:val="20"/>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94">
    <w:name w:val="List Table 2 - Accent 3"/>
    <w:basedOn w:val="20"/>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95">
    <w:name w:val="List Table 2 - Accent 4"/>
    <w:basedOn w:val="20"/>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96">
    <w:name w:val="List Table 2 - Accent 5"/>
    <w:basedOn w:val="20"/>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97">
    <w:name w:val="List Table 2 - Accent 6"/>
    <w:basedOn w:val="20"/>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98">
    <w:name w:val="清单表 31"/>
    <w:basedOn w:val="2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9">
    <w:name w:val="List Table 3 - Accent 1"/>
    <w:basedOn w:val="20"/>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00">
    <w:name w:val="List Table 3 - Accent 2"/>
    <w:basedOn w:val="2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01">
    <w:name w:val="List Table 3 - Accent 3"/>
    <w:basedOn w:val="20"/>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02">
    <w:name w:val="List Table 3 - Accent 4"/>
    <w:basedOn w:val="2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03">
    <w:name w:val="List Table 3 - Accent 5"/>
    <w:basedOn w:val="20"/>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04">
    <w:name w:val="List Table 3 - Accent 6"/>
    <w:basedOn w:val="20"/>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05">
    <w:name w:val="清单表 41"/>
    <w:basedOn w:val="2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6">
    <w:name w:val="List Table 4 - Accent 1"/>
    <w:basedOn w:val="20"/>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07">
    <w:name w:val="List Table 4 - Accent 2"/>
    <w:basedOn w:val="20"/>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08">
    <w:name w:val="List Table 4 - Accent 3"/>
    <w:basedOn w:val="20"/>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09">
    <w:name w:val="List Table 4 - Accent 4"/>
    <w:basedOn w:val="20"/>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10">
    <w:name w:val="List Table 4 - Accent 5"/>
    <w:basedOn w:val="20"/>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11">
    <w:name w:val="List Table 4 - Accent 6"/>
    <w:basedOn w:val="20"/>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12">
    <w:name w:val="清单表 5 深色1"/>
    <w:basedOn w:val="2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3">
    <w:name w:val="List Table 5 Dark - Accent 1"/>
    <w:basedOn w:val="20"/>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14">
    <w:name w:val="List Table 5 Dark - Accent 2"/>
    <w:basedOn w:val="20"/>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15">
    <w:name w:val="List Table 5 Dark - Accent 3"/>
    <w:basedOn w:val="20"/>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16">
    <w:name w:val="List Table 5 Dark - Accent 4"/>
    <w:basedOn w:val="20"/>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17">
    <w:name w:val="List Table 5 Dark - Accent 5"/>
    <w:basedOn w:val="20"/>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18">
    <w:name w:val="List Table 5 Dark - Accent 6"/>
    <w:basedOn w:val="20"/>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19">
    <w:name w:val="清单表 6 彩色1"/>
    <w:basedOn w:val="2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20">
    <w:name w:val="List Table 6 Colorful - Accent 1"/>
    <w:basedOn w:val="20"/>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21">
    <w:name w:val="List Table 6 Colorful - Accent 2"/>
    <w:basedOn w:val="20"/>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2">
    <w:name w:val="List Table 6 Colorful - Accent 3"/>
    <w:basedOn w:val="20"/>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23">
    <w:name w:val="List Table 6 Colorful - Accent 4"/>
    <w:basedOn w:val="20"/>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4">
    <w:name w:val="List Table 6 Colorful - Accent 5"/>
    <w:basedOn w:val="20"/>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25">
    <w:name w:val="List Table 6 Colorful - Accent 6"/>
    <w:basedOn w:val="20"/>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26">
    <w:name w:val="清单表 7 彩色1"/>
    <w:basedOn w:val="2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List Table 7 Colorful - Accent 1"/>
    <w:basedOn w:val="20"/>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28">
    <w:name w:val="List Table 7 Colorful - Accent 2"/>
    <w:basedOn w:val="20"/>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9">
    <w:name w:val="List Table 7 Colorful - Accent 3"/>
    <w:basedOn w:val="20"/>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30">
    <w:name w:val="List Table 7 Colorful - Accent 4"/>
    <w:basedOn w:val="20"/>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1">
    <w:name w:val="List Table 7 Colorful - Accent 5"/>
    <w:basedOn w:val="20"/>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32">
    <w:name w:val="List Table 7 Colorful - Accent 6"/>
    <w:basedOn w:val="20"/>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3">
    <w:name w:val="Lined - Accent"/>
    <w:basedOn w:val="2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34">
    <w:name w:val="Lined - Accent 1"/>
    <w:basedOn w:val="20"/>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35">
    <w:name w:val="Lined - Accent 2"/>
    <w:basedOn w:val="20"/>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36">
    <w:name w:val="Lined - Accent 3"/>
    <w:basedOn w:val="20"/>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37">
    <w:name w:val="Lined - Accent 4"/>
    <w:basedOn w:val="20"/>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38">
    <w:name w:val="Lined - Accent 5"/>
    <w:basedOn w:val="20"/>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39">
    <w:name w:val="Lined - Accent 6"/>
    <w:basedOn w:val="20"/>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40">
    <w:name w:val="Bordered &amp; Lined - Accent"/>
    <w:basedOn w:val="2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1">
    <w:name w:val="Bordered &amp; Lined - Accent 1"/>
    <w:basedOn w:val="20"/>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42">
    <w:name w:val="Bordered &amp; Lined - Accent 2"/>
    <w:basedOn w:val="20"/>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3">
    <w:name w:val="Bordered &amp; Lined - Accent 3"/>
    <w:basedOn w:val="20"/>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4">
    <w:name w:val="Bordered &amp; Lined - Accent 4"/>
    <w:basedOn w:val="20"/>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5">
    <w:name w:val="Bordered &amp; Lined - Accent 5"/>
    <w:basedOn w:val="20"/>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46">
    <w:name w:val="Bordered &amp; Lined - Accent 6"/>
    <w:basedOn w:val="20"/>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47">
    <w:name w:val="Bordered"/>
    <w:basedOn w:val="2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48">
    <w:name w:val="Bordered - Accent 1"/>
    <w:basedOn w:val="2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49">
    <w:name w:val="Bordered - Accent 2"/>
    <w:basedOn w:val="2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50">
    <w:name w:val="Bordered - Accent 3"/>
    <w:basedOn w:val="2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51">
    <w:name w:val="Bordered - Accent 4"/>
    <w:basedOn w:val="2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52">
    <w:name w:val="Bordered - Accent 5"/>
    <w:basedOn w:val="2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53">
    <w:name w:val="Bordered - Accent 6"/>
    <w:basedOn w:val="2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paragraph" w:customStyle="1" w:styleId="154">
    <w:name w:val="标题 11"/>
    <w:basedOn w:val="1"/>
    <w:next w:val="1"/>
    <w:link w:val="162"/>
    <w:qFormat/>
    <w:uiPriority w:val="9"/>
    <w:pPr>
      <w:keepNext/>
      <w:keepLines/>
      <w:spacing w:before="360" w:after="80"/>
      <w:outlineLvl w:val="0"/>
    </w:pPr>
    <w:rPr>
      <w:rFonts w:ascii="Arial" w:hAnsi="Arial" w:eastAsia="Arial" w:cs="Arial"/>
      <w:color w:val="2E75B6" w:themeColor="accent1" w:themeShade="BF"/>
      <w:sz w:val="40"/>
      <w:szCs w:val="40"/>
    </w:rPr>
  </w:style>
  <w:style w:type="paragraph" w:customStyle="1" w:styleId="155">
    <w:name w:val="标题 31"/>
    <w:basedOn w:val="1"/>
    <w:next w:val="1"/>
    <w:link w:val="164"/>
    <w:unhideWhenUsed/>
    <w:qFormat/>
    <w:uiPriority w:val="9"/>
    <w:pPr>
      <w:keepNext/>
      <w:keepLines/>
      <w:spacing w:before="160" w:after="80"/>
      <w:outlineLvl w:val="2"/>
    </w:pPr>
    <w:rPr>
      <w:rFonts w:ascii="Arial" w:hAnsi="Arial" w:eastAsia="Arial" w:cs="Arial"/>
      <w:color w:val="2E75B6" w:themeColor="accent1" w:themeShade="BF"/>
      <w:sz w:val="28"/>
      <w:szCs w:val="28"/>
    </w:rPr>
  </w:style>
  <w:style w:type="paragraph" w:customStyle="1" w:styleId="156">
    <w:name w:val="标题 41"/>
    <w:basedOn w:val="1"/>
    <w:next w:val="1"/>
    <w:link w:val="165"/>
    <w:unhideWhenUsed/>
    <w:qFormat/>
    <w:uiPriority w:val="9"/>
    <w:pPr>
      <w:keepNext/>
      <w:keepLines/>
      <w:spacing w:before="80" w:after="40"/>
      <w:outlineLvl w:val="3"/>
    </w:pPr>
    <w:rPr>
      <w:rFonts w:ascii="Arial" w:hAnsi="Arial" w:eastAsia="Arial" w:cs="Arial"/>
      <w:i/>
      <w:iCs/>
      <w:color w:val="2E75B6" w:themeColor="accent1" w:themeShade="BF"/>
    </w:rPr>
  </w:style>
  <w:style w:type="paragraph" w:customStyle="1" w:styleId="157">
    <w:name w:val="标题 51"/>
    <w:basedOn w:val="1"/>
    <w:next w:val="1"/>
    <w:link w:val="166"/>
    <w:unhideWhenUsed/>
    <w:qFormat/>
    <w:uiPriority w:val="9"/>
    <w:pPr>
      <w:keepNext/>
      <w:keepLines/>
      <w:spacing w:before="80" w:after="40"/>
      <w:outlineLvl w:val="4"/>
    </w:pPr>
    <w:rPr>
      <w:rFonts w:ascii="Arial" w:hAnsi="Arial" w:eastAsia="Arial" w:cs="Arial"/>
      <w:color w:val="2E75B6" w:themeColor="accent1" w:themeShade="BF"/>
    </w:rPr>
  </w:style>
  <w:style w:type="paragraph" w:customStyle="1" w:styleId="158">
    <w:name w:val="标题 61"/>
    <w:basedOn w:val="1"/>
    <w:next w:val="1"/>
    <w:link w:val="167"/>
    <w:unhideWhenUsed/>
    <w:qFormat/>
    <w:uiPriority w:val="9"/>
    <w:pPr>
      <w:keepNext/>
      <w:keepLines/>
      <w:spacing w:before="4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customStyle="1" w:styleId="159">
    <w:name w:val="标题 71"/>
    <w:basedOn w:val="1"/>
    <w:next w:val="1"/>
    <w:link w:val="168"/>
    <w:unhideWhenUsed/>
    <w:qFormat/>
    <w:uiPriority w:val="9"/>
    <w:pPr>
      <w:keepNext/>
      <w:keepLines/>
      <w:spacing w:before="4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customStyle="1" w:styleId="160">
    <w:name w:val="标题 81"/>
    <w:basedOn w:val="1"/>
    <w:next w:val="1"/>
    <w:link w:val="169"/>
    <w:unhideWhenUsed/>
    <w:qFormat/>
    <w:uiPriority w:val="9"/>
    <w:pPr>
      <w:keepNext/>
      <w:keepLines/>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customStyle="1" w:styleId="161">
    <w:name w:val="标题 91"/>
    <w:basedOn w:val="1"/>
    <w:next w:val="1"/>
    <w:link w:val="170"/>
    <w:unhideWhenUsed/>
    <w:qFormat/>
    <w:uiPriority w:val="9"/>
    <w:pPr>
      <w:keepNext/>
      <w:keepLines/>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2">
    <w:name w:val="Heading 1 Char"/>
    <w:basedOn w:val="22"/>
    <w:link w:val="154"/>
    <w:qFormat/>
    <w:uiPriority w:val="9"/>
    <w:rPr>
      <w:rFonts w:ascii="Arial" w:hAnsi="Arial" w:eastAsia="Arial" w:cs="Arial"/>
      <w:color w:val="2E75B6" w:themeColor="accent1" w:themeShade="BF"/>
      <w:sz w:val="40"/>
      <w:szCs w:val="40"/>
    </w:rPr>
  </w:style>
  <w:style w:type="character" w:customStyle="1" w:styleId="163">
    <w:name w:val="Heading 2 Char"/>
    <w:basedOn w:val="22"/>
    <w:qFormat/>
    <w:uiPriority w:val="9"/>
    <w:rPr>
      <w:rFonts w:ascii="Arial" w:hAnsi="Arial" w:eastAsia="Arial" w:cs="Arial"/>
      <w:color w:val="2E75B6" w:themeColor="accent1" w:themeShade="BF"/>
      <w:sz w:val="32"/>
      <w:szCs w:val="32"/>
    </w:rPr>
  </w:style>
  <w:style w:type="character" w:customStyle="1" w:styleId="164">
    <w:name w:val="Heading 3 Char"/>
    <w:basedOn w:val="22"/>
    <w:link w:val="155"/>
    <w:qFormat/>
    <w:uiPriority w:val="9"/>
    <w:rPr>
      <w:rFonts w:ascii="Arial" w:hAnsi="Arial" w:eastAsia="Arial" w:cs="Arial"/>
      <w:color w:val="2E75B6" w:themeColor="accent1" w:themeShade="BF"/>
      <w:sz w:val="28"/>
      <w:szCs w:val="28"/>
    </w:rPr>
  </w:style>
  <w:style w:type="character" w:customStyle="1" w:styleId="165">
    <w:name w:val="Heading 4 Char"/>
    <w:basedOn w:val="22"/>
    <w:link w:val="156"/>
    <w:qFormat/>
    <w:uiPriority w:val="9"/>
    <w:rPr>
      <w:rFonts w:ascii="Arial" w:hAnsi="Arial" w:eastAsia="Arial" w:cs="Arial"/>
      <w:i/>
      <w:iCs/>
      <w:color w:val="2E75B6" w:themeColor="accent1" w:themeShade="BF"/>
    </w:rPr>
  </w:style>
  <w:style w:type="character" w:customStyle="1" w:styleId="166">
    <w:name w:val="Heading 5 Char"/>
    <w:basedOn w:val="22"/>
    <w:link w:val="157"/>
    <w:qFormat/>
    <w:uiPriority w:val="9"/>
    <w:rPr>
      <w:rFonts w:ascii="Arial" w:hAnsi="Arial" w:eastAsia="Arial" w:cs="Arial"/>
      <w:color w:val="2E75B6" w:themeColor="accent1" w:themeShade="BF"/>
    </w:rPr>
  </w:style>
  <w:style w:type="character" w:customStyle="1" w:styleId="167">
    <w:name w:val="Heading 6 Char"/>
    <w:basedOn w:val="22"/>
    <w:link w:val="158"/>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68">
    <w:name w:val="Heading 7 Char"/>
    <w:basedOn w:val="22"/>
    <w:link w:val="159"/>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69">
    <w:name w:val="Heading 8 Char"/>
    <w:basedOn w:val="22"/>
    <w:link w:val="16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0">
    <w:name w:val="Heading 9 Char"/>
    <w:basedOn w:val="22"/>
    <w:link w:val="161"/>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1">
    <w:name w:val="标题 字符"/>
    <w:basedOn w:val="22"/>
    <w:link w:val="19"/>
    <w:qFormat/>
    <w:uiPriority w:val="10"/>
    <w:rPr>
      <w:rFonts w:ascii="Arial" w:hAnsi="Arial" w:eastAsia="Arial" w:cs="Arial"/>
      <w:spacing w:val="-10"/>
      <w:sz w:val="56"/>
      <w:szCs w:val="56"/>
    </w:rPr>
  </w:style>
  <w:style w:type="character" w:customStyle="1" w:styleId="172">
    <w:name w:val="副标题 字符"/>
    <w:basedOn w:val="22"/>
    <w:link w:val="13"/>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73">
    <w:name w:val="Quote"/>
    <w:basedOn w:val="1"/>
    <w:next w:val="1"/>
    <w:link w:val="17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74">
    <w:name w:val="引用 字符"/>
    <w:basedOn w:val="22"/>
    <w:link w:val="173"/>
    <w:qFormat/>
    <w:uiPriority w:val="29"/>
    <w:rPr>
      <w:i/>
      <w:iCs/>
      <w:color w:val="404040" w:themeColor="text1" w:themeTint="BF"/>
      <w14:textFill>
        <w14:solidFill>
          <w14:schemeClr w14:val="tx1">
            <w14:lumMod w14:val="75000"/>
            <w14:lumOff w14:val="25000"/>
          </w14:schemeClr>
        </w14:solidFill>
      </w14:textFill>
    </w:rPr>
  </w:style>
  <w:style w:type="paragraph" w:styleId="175">
    <w:name w:val="List Paragraph"/>
    <w:basedOn w:val="1"/>
    <w:qFormat/>
    <w:uiPriority w:val="34"/>
    <w:pPr>
      <w:ind w:left="720"/>
      <w:contextualSpacing/>
    </w:pPr>
  </w:style>
  <w:style w:type="character" w:customStyle="1" w:styleId="176">
    <w:name w:val="明显强调1"/>
    <w:basedOn w:val="22"/>
    <w:qFormat/>
    <w:uiPriority w:val="21"/>
    <w:rPr>
      <w:i/>
      <w:iCs/>
      <w:color w:val="2E75B6" w:themeColor="accent1" w:themeShade="BF"/>
    </w:rPr>
  </w:style>
  <w:style w:type="paragraph" w:styleId="177">
    <w:name w:val="Intense Quote"/>
    <w:basedOn w:val="1"/>
    <w:next w:val="1"/>
    <w:link w:val="178"/>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78">
    <w:name w:val="明显引用 字符"/>
    <w:basedOn w:val="22"/>
    <w:link w:val="177"/>
    <w:qFormat/>
    <w:uiPriority w:val="30"/>
    <w:rPr>
      <w:i/>
      <w:iCs/>
      <w:color w:val="2E75B6" w:themeColor="accent1" w:themeShade="BF"/>
    </w:rPr>
  </w:style>
  <w:style w:type="character" w:customStyle="1" w:styleId="179">
    <w:name w:val="明显参考1"/>
    <w:basedOn w:val="22"/>
    <w:qFormat/>
    <w:uiPriority w:val="32"/>
    <w:rPr>
      <w:b/>
      <w:bCs/>
      <w:smallCaps/>
      <w:color w:val="2E75B6" w:themeColor="accent1" w:themeShade="BF"/>
      <w:spacing w:val="5"/>
    </w:rPr>
  </w:style>
  <w:style w:type="paragraph" w:styleId="180">
    <w:name w:val="No Spacing"/>
    <w:basedOn w:val="1"/>
    <w:qFormat/>
    <w:uiPriority w:val="1"/>
  </w:style>
  <w:style w:type="character" w:customStyle="1" w:styleId="181">
    <w:name w:val="不明显强调1"/>
    <w:basedOn w:val="22"/>
    <w:qFormat/>
    <w:uiPriority w:val="19"/>
    <w:rPr>
      <w:i/>
      <w:iCs/>
      <w:color w:val="404040" w:themeColor="text1" w:themeTint="BF"/>
      <w14:textFill>
        <w14:solidFill>
          <w14:schemeClr w14:val="tx1">
            <w14:lumMod w14:val="75000"/>
            <w14:lumOff w14:val="25000"/>
          </w14:schemeClr>
        </w14:solidFill>
      </w14:textFill>
    </w:rPr>
  </w:style>
  <w:style w:type="character" w:customStyle="1" w:styleId="182">
    <w:name w:val="不明显参考1"/>
    <w:basedOn w:val="22"/>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83">
    <w:name w:val="书籍标题1"/>
    <w:basedOn w:val="22"/>
    <w:qFormat/>
    <w:uiPriority w:val="33"/>
    <w:rPr>
      <w:b/>
      <w:bCs/>
      <w:i/>
      <w:iCs/>
      <w:spacing w:val="5"/>
    </w:rPr>
  </w:style>
  <w:style w:type="paragraph" w:customStyle="1" w:styleId="184">
    <w:name w:val="页眉1"/>
    <w:basedOn w:val="1"/>
    <w:link w:val="185"/>
    <w:unhideWhenUsed/>
    <w:qFormat/>
    <w:uiPriority w:val="99"/>
    <w:pPr>
      <w:tabs>
        <w:tab w:val="center" w:pos="4844"/>
        <w:tab w:val="right" w:pos="9689"/>
      </w:tabs>
    </w:pPr>
  </w:style>
  <w:style w:type="character" w:customStyle="1" w:styleId="185">
    <w:name w:val="Header Char"/>
    <w:basedOn w:val="22"/>
    <w:link w:val="184"/>
    <w:qFormat/>
    <w:uiPriority w:val="99"/>
  </w:style>
  <w:style w:type="paragraph" w:customStyle="1" w:styleId="186">
    <w:name w:val="页脚1"/>
    <w:basedOn w:val="1"/>
    <w:link w:val="187"/>
    <w:unhideWhenUsed/>
    <w:qFormat/>
    <w:uiPriority w:val="99"/>
    <w:pPr>
      <w:tabs>
        <w:tab w:val="center" w:pos="4844"/>
        <w:tab w:val="right" w:pos="9689"/>
      </w:tabs>
    </w:pPr>
  </w:style>
  <w:style w:type="character" w:customStyle="1" w:styleId="187">
    <w:name w:val="Footer Char"/>
    <w:basedOn w:val="22"/>
    <w:link w:val="186"/>
    <w:qFormat/>
    <w:uiPriority w:val="99"/>
  </w:style>
  <w:style w:type="paragraph" w:customStyle="1" w:styleId="188">
    <w:name w:val="题注1"/>
    <w:basedOn w:val="1"/>
    <w:next w:val="1"/>
    <w:unhideWhenUsed/>
    <w:qFormat/>
    <w:uiPriority w:val="35"/>
    <w:pPr>
      <w:spacing w:after="200"/>
    </w:pPr>
    <w:rPr>
      <w:i/>
      <w:iCs/>
      <w:color w:val="44546A" w:themeColor="text2"/>
      <w:sz w:val="18"/>
      <w:szCs w:val="18"/>
      <w14:textFill>
        <w14:solidFill>
          <w14:schemeClr w14:val="tx2"/>
        </w14:solidFill>
      </w14:textFill>
    </w:rPr>
  </w:style>
  <w:style w:type="character" w:customStyle="1" w:styleId="189">
    <w:name w:val="脚注文本 字符"/>
    <w:basedOn w:val="22"/>
    <w:link w:val="14"/>
    <w:semiHidden/>
    <w:qFormat/>
    <w:uiPriority w:val="99"/>
    <w:rPr>
      <w:sz w:val="20"/>
      <w:szCs w:val="20"/>
    </w:rPr>
  </w:style>
  <w:style w:type="character" w:customStyle="1" w:styleId="190">
    <w:name w:val="尾注文本 字符"/>
    <w:basedOn w:val="22"/>
    <w:link w:val="8"/>
    <w:semiHidden/>
    <w:qFormat/>
    <w:uiPriority w:val="99"/>
    <w:rPr>
      <w:sz w:val="20"/>
      <w:szCs w:val="20"/>
    </w:rPr>
  </w:style>
  <w:style w:type="paragraph" w:customStyle="1" w:styleId="191">
    <w:name w:val="TOC 标题1"/>
    <w:unhideWhenUsed/>
    <w:qFormat/>
    <w:uiPriority w:val="39"/>
    <w:rPr>
      <w:rFonts w:asciiTheme="minorHAnsi" w:hAnsiTheme="minorHAnsi" w:eastAsiaTheme="minorEastAsia" w:cstheme="minorBidi"/>
      <w:lang w:val="en-US" w:eastAsia="en-US" w:bidi="ar-SA"/>
    </w:rPr>
  </w:style>
  <w:style w:type="paragraph" w:customStyle="1" w:styleId="192">
    <w:name w:val="标题 21"/>
    <w:basedOn w:val="1"/>
    <w:next w:val="1"/>
    <w:unhideWhenUsed/>
    <w:qFormat/>
    <w:uiPriority w:val="1"/>
    <w:pPr>
      <w:keepNext/>
      <w:keepLines/>
      <w:spacing w:before="260" w:after="260" w:line="416" w:lineRule="auto"/>
      <w:jc w:val="left"/>
      <w:outlineLvl w:val="1"/>
    </w:pPr>
    <w:rPr>
      <w:rFonts w:asciiTheme="majorHAnsi" w:hAnsiTheme="majorHAnsi" w:eastAsiaTheme="majorEastAsia" w:cstheme="majorBidi"/>
      <w:b/>
      <w:bCs/>
      <w:sz w:val="32"/>
      <w:szCs w:val="32"/>
    </w:rPr>
  </w:style>
  <w:style w:type="table" w:customStyle="1" w:styleId="193">
    <w:name w:val="Table Grid_0"/>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4">
    <w:name w:val="CustomTableStyle"/>
    <w:basedOn w:val="147"/>
    <w:qFormat/>
    <w:uiPriority w:val="1"/>
    <w:rPr>
      <w:rFonts w:ascii="宋体" w:hAnsi="宋体" w:eastAsia="宋体" w:cs="宋体"/>
    </w:rPr>
    <w:tblP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Table Grid_1"/>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6">
    <w:name w:val="CustomTableStyle_0"/>
    <w:basedOn w:val="147"/>
    <w:qFormat/>
    <w:uiPriority w:val="1"/>
    <w:rPr>
      <w:rFonts w:ascii="宋体" w:hAnsi="宋体" w:eastAsia="宋体" w:cs="宋体"/>
    </w:rPr>
    <w:tblP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Table Grid_2"/>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8">
    <w:name w:val="Table Grid_3"/>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9">
    <w:name w:val="Table Grid_4"/>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0">
    <w:name w:val="Table Grid_5"/>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1">
    <w:name w:val="Table Grid_6"/>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2">
    <w:name w:val="Table Grid_7"/>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3">
    <w:name w:val="Table Grid_8"/>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4">
    <w:name w:val="Table Grid_9"/>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05">
    <w:name w:val="页眉 字符"/>
    <w:basedOn w:val="22"/>
    <w:link w:val="10"/>
    <w:qFormat/>
    <w:uiPriority w:val="99"/>
    <w:rPr>
      <w:sz w:val="18"/>
      <w:szCs w:val="18"/>
      <w:lang w:eastAsia="en-US"/>
    </w:rPr>
  </w:style>
  <w:style w:type="character" w:customStyle="1" w:styleId="206">
    <w:name w:val="页脚 字符"/>
    <w:basedOn w:val="22"/>
    <w:link w:val="9"/>
    <w:qFormat/>
    <w:uiPriority w:val="99"/>
    <w:rPr>
      <w:sz w:val="18"/>
      <w:szCs w:val="18"/>
      <w:lang w:eastAsia="en-US"/>
    </w:rPr>
  </w:style>
  <w:style w:type="table" w:customStyle="1" w:styleId="207">
    <w:name w:val="Table Normal"/>
    <w:semiHidden/>
    <w:unhideWhenUsed/>
    <w:qFormat/>
    <w:uiPriority w:val="0"/>
    <w:tblPr>
      <w:tblCellMar>
        <w:top w:w="0" w:type="dxa"/>
        <w:left w:w="0" w:type="dxa"/>
        <w:bottom w:w="0" w:type="dxa"/>
        <w:right w:w="0" w:type="dxa"/>
      </w:tblCellMar>
    </w:tblPr>
  </w:style>
  <w:style w:type="paragraph" w:customStyle="1" w:styleId="208">
    <w:name w:val="Table Text"/>
    <w:basedOn w:val="1"/>
    <w:semiHidden/>
    <w:qFormat/>
    <w:uiPriority w:val="0"/>
    <w:rPr>
      <w:rFonts w:ascii="微软雅黑" w:hAnsi="微软雅黑" w:eastAsia="微软雅黑" w:cs="微软雅黑"/>
      <w:sz w:val="18"/>
      <w:szCs w:val="18"/>
    </w:rPr>
  </w:style>
  <w:style w:type="paragraph" w:customStyle="1" w:styleId="209">
    <w:name w:val="Footer"/>
    <w:basedOn w:val="1"/>
    <w:unhideWhenUsed/>
    <w:qFormat/>
    <w:uiPriority w:val="99"/>
    <w:pPr>
      <w:tabs>
        <w:tab w:val="center" w:pos="4153"/>
        <w:tab w:val="right" w:pos="8306"/>
      </w:tabs>
      <w:jc w:val="left"/>
    </w:pPr>
    <w:rPr>
      <w:rFonts w:ascii="宋体" w:hAnsi="宋体" w:eastAsia="宋体" w:cs="宋体"/>
      <w:sz w:val="18"/>
      <w:szCs w:val="18"/>
      <w:lang w:eastAsia="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6470</Words>
  <Characters>6698</Characters>
  <Lines>2593</Lines>
  <Paragraphs>2220</Paragraphs>
  <TotalTime>1</TotalTime>
  <ScaleCrop>false</ScaleCrop>
  <LinksUpToDate>false</LinksUpToDate>
  <CharactersWithSpaces>6855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2025-08-01T09:05:00Z</dcterms:created>
  <dc:creator>祝爱斌</dc:creator>
  <cp:lastModifiedBy>chim</cp:lastModifiedBy>
  <cp:lastPrinted>2025-09-22T00:33:00Z</cp:lastPrinted>
  <dcterms:modified xsi:type="dcterms:W3CDTF">2026-08-12T03:34:49Z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7BF0488131D9B68AAF648C68F2F3927D_42</vt:lpwstr>
  </property>
  <property fmtid="{D5CDD505-2E9C-101B-9397-08002B2CF9AE}" pid="4" name="KSOTemplateDocerSaveRecord">
    <vt:lpwstr>eyJoZGlkIjoiOGY5MjljNDU1NWU1ODNlMTk1NGZkMzdjMTk1Y2E2ZjYiLCJ1c2VySWQiOiI0NjE5NTE2NTIifQ==</vt:lpwstr>
  </property>
</Properties>
</file>