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3D8B6">
      <w:pPr>
        <w:jc w:val="center"/>
        <w:rPr>
          <w:rFonts w:hint="eastAsia" w:ascii="宋体" w:hAnsi="宋体" w:cs="宋体"/>
          <w:b/>
          <w:sz w:val="48"/>
          <w:szCs w:val="48"/>
          <w:lang w:val="en-US" w:eastAsia="zh-CN"/>
        </w:rPr>
      </w:pPr>
    </w:p>
    <w:p w14:paraId="672FB425">
      <w:pPr>
        <w:jc w:val="center"/>
        <w:rPr>
          <w:rFonts w:hint="eastAsia" w:ascii="宋体" w:hAnsi="宋体" w:cs="宋体"/>
          <w:b/>
          <w:sz w:val="48"/>
          <w:szCs w:val="48"/>
          <w:lang w:val="en-US" w:eastAsia="zh-CN"/>
        </w:rPr>
      </w:pPr>
    </w:p>
    <w:p w14:paraId="523C3CFE">
      <w:pPr>
        <w:jc w:val="center"/>
        <w:rPr>
          <w:rFonts w:hint="eastAsia" w:ascii="宋体" w:hAnsi="宋体" w:cs="宋体"/>
          <w:b/>
          <w:color w:val="auto"/>
          <w:sz w:val="48"/>
          <w:szCs w:val="48"/>
          <w:lang w:val="en-US" w:eastAsia="zh-CN"/>
        </w:rPr>
      </w:pPr>
    </w:p>
    <w:p w14:paraId="6B8D6371">
      <w:pPr>
        <w:jc w:val="center"/>
        <w:rPr>
          <w:rFonts w:hint="eastAsia" w:ascii="宋体" w:hAnsi="宋体" w:cs="宋体"/>
          <w:b/>
          <w:color w:val="auto"/>
          <w:sz w:val="32"/>
          <w:szCs w:val="32"/>
        </w:rPr>
      </w:pPr>
      <w:r>
        <w:rPr>
          <w:rFonts w:hint="eastAsia" w:ascii="宋体" w:hAnsi="宋体" w:eastAsia="宋体" w:cs="宋体"/>
          <w:b/>
          <w:bCs/>
          <w:color w:val="auto"/>
          <w:sz w:val="36"/>
          <w:szCs w:val="36"/>
          <w:lang w:val="en-US" w:eastAsia="zh-CN"/>
        </w:rPr>
        <w:t>淮北矿业股份有限公司</w:t>
      </w:r>
      <w:r>
        <w:rPr>
          <w:rFonts w:hint="eastAsia" w:ascii="宋体" w:hAnsi="宋体" w:cs="宋体"/>
          <w:b/>
          <w:bCs/>
          <w:color w:val="auto"/>
          <w:sz w:val="36"/>
          <w:szCs w:val="36"/>
          <w:lang w:val="en-US" w:eastAsia="zh-CN"/>
        </w:rPr>
        <w:t>祁南</w:t>
      </w:r>
      <w:r>
        <w:rPr>
          <w:rFonts w:hint="eastAsia" w:ascii="宋体" w:hAnsi="宋体" w:eastAsia="宋体" w:cs="宋体"/>
          <w:b/>
          <w:bCs/>
          <w:color w:val="auto"/>
          <w:sz w:val="36"/>
          <w:szCs w:val="36"/>
          <w:lang w:val="en-US" w:eastAsia="zh-CN"/>
        </w:rPr>
        <w:t>煤矿2026</w:t>
      </w:r>
      <w:r>
        <w:rPr>
          <w:rFonts w:hint="eastAsia" w:ascii="宋体" w:hAnsi="宋体" w:cs="宋体"/>
          <w:b/>
          <w:bCs/>
          <w:color w:val="auto"/>
          <w:sz w:val="36"/>
          <w:szCs w:val="36"/>
          <w:lang w:val="en-US" w:eastAsia="zh-CN"/>
        </w:rPr>
        <w:t>年</w:t>
      </w:r>
      <w:r>
        <w:rPr>
          <w:rFonts w:hint="eastAsia" w:ascii="宋体" w:hAnsi="宋体" w:eastAsia="宋体" w:cs="宋体"/>
          <w:b/>
          <w:bCs/>
          <w:color w:val="auto"/>
          <w:sz w:val="36"/>
          <w:szCs w:val="36"/>
          <w:lang w:val="en-US" w:eastAsia="zh-CN"/>
        </w:rPr>
        <w:t>矿用螺杆式泥浆泵采购技术规格书</w:t>
      </w:r>
    </w:p>
    <w:p w14:paraId="689EF519">
      <w:pPr>
        <w:rPr>
          <w:rFonts w:hint="eastAsia" w:ascii="宋体" w:hAnsi="宋体" w:cs="宋体"/>
          <w:sz w:val="32"/>
          <w:szCs w:val="32"/>
        </w:rPr>
      </w:pPr>
    </w:p>
    <w:p w14:paraId="7E26EED6">
      <w:pPr>
        <w:spacing w:line="360" w:lineRule="auto"/>
        <w:rPr>
          <w:rFonts w:hint="eastAsia" w:ascii="宋体" w:hAnsi="宋体" w:cs="宋体"/>
          <w:b/>
          <w:spacing w:val="28"/>
          <w:sz w:val="32"/>
          <w:szCs w:val="32"/>
        </w:rPr>
      </w:pPr>
    </w:p>
    <w:p w14:paraId="7976CCA3">
      <w:pPr>
        <w:pStyle w:val="3"/>
        <w:rPr>
          <w:rFonts w:hint="eastAsia"/>
        </w:rPr>
      </w:pPr>
    </w:p>
    <w:p w14:paraId="0CDAE251">
      <w:pPr>
        <w:rPr>
          <w:rFonts w:hint="eastAsia"/>
        </w:rPr>
      </w:pPr>
    </w:p>
    <w:p w14:paraId="65734152">
      <w:pPr>
        <w:pStyle w:val="2"/>
        <w:rPr>
          <w:rFonts w:hint="eastAsia"/>
        </w:rPr>
      </w:pPr>
    </w:p>
    <w:p w14:paraId="3F9199C2">
      <w:pPr>
        <w:spacing w:line="600" w:lineRule="auto"/>
        <w:rPr>
          <w:rFonts w:hint="eastAsia" w:ascii="宋体" w:hAnsi="宋体" w:cs="宋体"/>
          <w:b/>
          <w:spacing w:val="28"/>
          <w:sz w:val="32"/>
          <w:szCs w:val="32"/>
        </w:rPr>
      </w:pPr>
    </w:p>
    <w:p w14:paraId="18183184">
      <w:pPr>
        <w:spacing w:line="560" w:lineRule="atLeast"/>
        <w:ind w:firstLine="2570" w:firstLineChars="800"/>
        <w:jc w:val="both"/>
        <w:rPr>
          <w:rFonts w:hint="default" w:eastAsia="宋体"/>
          <w:b/>
          <w:bCs/>
          <w:sz w:val="32"/>
          <w:szCs w:val="32"/>
          <w:lang w:val="en-US" w:eastAsia="zh-CN"/>
        </w:rPr>
      </w:pPr>
      <w:r>
        <w:rPr>
          <w:rFonts w:hint="eastAsia"/>
          <w:b/>
          <w:bCs/>
          <w:sz w:val="32"/>
          <w:szCs w:val="32"/>
        </w:rPr>
        <w:t>编制：</w:t>
      </w:r>
      <w:r>
        <w:rPr>
          <w:rFonts w:hint="eastAsia"/>
          <w:b/>
          <w:bCs/>
          <w:sz w:val="32"/>
          <w:szCs w:val="32"/>
          <w:u w:val="single"/>
          <w:lang w:val="en-US" w:eastAsia="zh-CN"/>
        </w:rPr>
        <w:t xml:space="preserve">                 </w:t>
      </w:r>
    </w:p>
    <w:p w14:paraId="108992F9">
      <w:pPr>
        <w:spacing w:line="560" w:lineRule="atLeast"/>
        <w:ind w:firstLine="2570" w:firstLineChars="800"/>
        <w:jc w:val="both"/>
        <w:rPr>
          <w:rFonts w:hint="default" w:eastAsia="宋体"/>
          <w:b/>
          <w:bCs/>
          <w:sz w:val="32"/>
          <w:szCs w:val="32"/>
          <w:lang w:val="en-US" w:eastAsia="zh-CN"/>
        </w:rPr>
      </w:pPr>
      <w:r>
        <w:rPr>
          <w:rFonts w:hint="eastAsia"/>
          <w:b/>
          <w:bCs/>
          <w:sz w:val="32"/>
          <w:szCs w:val="32"/>
        </w:rPr>
        <w:t>校对：</w:t>
      </w:r>
      <w:r>
        <w:rPr>
          <w:rFonts w:hint="eastAsia"/>
          <w:b/>
          <w:bCs/>
          <w:sz w:val="32"/>
          <w:szCs w:val="32"/>
          <w:u w:val="single"/>
          <w:lang w:val="en-US" w:eastAsia="zh-CN"/>
        </w:rPr>
        <w:t xml:space="preserve">                 </w:t>
      </w:r>
    </w:p>
    <w:p w14:paraId="0BA997B5">
      <w:pPr>
        <w:spacing w:line="560" w:lineRule="atLeast"/>
        <w:ind w:firstLine="2570" w:firstLineChars="800"/>
        <w:jc w:val="both"/>
        <w:rPr>
          <w:rFonts w:hint="eastAsia"/>
          <w:b/>
          <w:bCs/>
          <w:sz w:val="32"/>
          <w:szCs w:val="32"/>
          <w:u w:val="single"/>
        </w:rPr>
      </w:pPr>
      <w:r>
        <w:rPr>
          <w:rFonts w:hint="eastAsia"/>
          <w:b/>
          <w:bCs/>
          <w:sz w:val="32"/>
          <w:szCs w:val="32"/>
        </w:rPr>
        <w:t>审批：</w:t>
      </w:r>
      <w:r>
        <w:rPr>
          <w:rFonts w:hint="eastAsia"/>
          <w:b/>
          <w:bCs/>
          <w:sz w:val="32"/>
          <w:szCs w:val="32"/>
          <w:u w:val="single"/>
          <w:lang w:val="en-US" w:eastAsia="zh-CN"/>
        </w:rPr>
        <w:t xml:space="preserve">                 </w:t>
      </w:r>
    </w:p>
    <w:p w14:paraId="4F560453">
      <w:pPr>
        <w:spacing w:line="600" w:lineRule="auto"/>
        <w:ind w:firstLine="199" w:firstLineChars="62"/>
        <w:jc w:val="center"/>
        <w:rPr>
          <w:rFonts w:hint="eastAsia"/>
          <w:b/>
          <w:bCs w:val="0"/>
          <w:color w:val="000000"/>
          <w:sz w:val="32"/>
          <w:szCs w:val="32"/>
        </w:rPr>
      </w:pPr>
    </w:p>
    <w:p w14:paraId="6634BFB7">
      <w:pPr>
        <w:spacing w:line="600" w:lineRule="auto"/>
        <w:ind w:firstLine="199" w:firstLineChars="62"/>
        <w:jc w:val="center"/>
        <w:rPr>
          <w:rFonts w:hint="eastAsia"/>
          <w:b/>
          <w:bCs w:val="0"/>
          <w:color w:val="000000"/>
          <w:sz w:val="32"/>
          <w:szCs w:val="32"/>
        </w:rPr>
      </w:pPr>
    </w:p>
    <w:p w14:paraId="77FA62F2">
      <w:pPr>
        <w:spacing w:line="600" w:lineRule="auto"/>
        <w:ind w:firstLine="199" w:firstLineChars="62"/>
        <w:jc w:val="center"/>
        <w:rPr>
          <w:rFonts w:hint="eastAsia"/>
          <w:b/>
          <w:bCs w:val="0"/>
          <w:color w:val="000000"/>
          <w:sz w:val="32"/>
          <w:szCs w:val="32"/>
        </w:rPr>
      </w:pPr>
    </w:p>
    <w:p w14:paraId="6A762A93">
      <w:pPr>
        <w:spacing w:line="600" w:lineRule="auto"/>
        <w:ind w:firstLine="199" w:firstLineChars="62"/>
        <w:jc w:val="center"/>
        <w:rPr>
          <w:rFonts w:hint="eastAsia"/>
          <w:b/>
          <w:bCs w:val="0"/>
          <w:color w:val="000000"/>
          <w:sz w:val="32"/>
          <w:szCs w:val="32"/>
        </w:rPr>
      </w:pPr>
    </w:p>
    <w:p w14:paraId="5D8E25F6">
      <w:pPr>
        <w:spacing w:line="600" w:lineRule="auto"/>
        <w:ind w:firstLine="199" w:firstLineChars="62"/>
        <w:jc w:val="center"/>
        <w:rPr>
          <w:rFonts w:hint="default"/>
          <w:bCs/>
          <w:color w:val="000000"/>
          <w:sz w:val="32"/>
          <w:szCs w:val="32"/>
          <w:lang w:val="en-US"/>
        </w:rPr>
      </w:pPr>
      <w:r>
        <w:rPr>
          <w:rFonts w:hint="eastAsia"/>
          <w:b/>
          <w:bCs w:val="0"/>
          <w:color w:val="000000"/>
          <w:sz w:val="32"/>
          <w:szCs w:val="32"/>
        </w:rPr>
        <w:t>单位：</w:t>
      </w:r>
      <w:r>
        <w:rPr>
          <w:rFonts w:hint="eastAsia"/>
          <w:b/>
          <w:bCs/>
          <w:sz w:val="32"/>
          <w:szCs w:val="32"/>
          <w:u w:val="single"/>
          <w:lang w:val="en-US" w:eastAsia="zh-CN"/>
        </w:rPr>
        <w:t>淮北矿业股份有限公司祁南煤矿</w:t>
      </w:r>
    </w:p>
    <w:p w14:paraId="04CB131B">
      <w:pPr>
        <w:pStyle w:val="2"/>
      </w:pPr>
    </w:p>
    <w:p w14:paraId="225DD927">
      <w:pPr>
        <w:pStyle w:val="2"/>
      </w:pPr>
    </w:p>
    <w:p w14:paraId="29BCF216">
      <w:pPr>
        <w:rPr>
          <w:rFonts w:hint="eastAsia" w:hAnsi="宋体" w:cs="仿宋"/>
          <w:bCs/>
          <w:sz w:val="36"/>
          <w:szCs w:val="36"/>
          <w:lang w:val="en-US" w:eastAsia="zh-CN"/>
        </w:rPr>
      </w:pPr>
      <w:r>
        <w:rPr>
          <w:rFonts w:hint="eastAsia" w:hAnsi="宋体" w:cs="仿宋"/>
          <w:bCs/>
          <w:sz w:val="36"/>
          <w:szCs w:val="36"/>
          <w:lang w:val="en-US" w:eastAsia="zh-CN"/>
        </w:rPr>
        <w:br w:type="page"/>
      </w:r>
    </w:p>
    <w:p w14:paraId="5C85DA84">
      <w:pPr>
        <w:spacing w:line="560" w:lineRule="exact"/>
        <w:jc w:val="center"/>
        <w:rPr>
          <w:rFonts w:hint="eastAsia" w:ascii="宋体" w:hAnsi="宋体"/>
          <w:b/>
          <w:sz w:val="36"/>
          <w:szCs w:val="36"/>
        </w:rPr>
      </w:pPr>
      <w:r>
        <w:rPr>
          <w:rFonts w:hint="eastAsia" w:ascii="宋体" w:hAnsi="宋体"/>
          <w:b/>
          <w:sz w:val="36"/>
          <w:szCs w:val="36"/>
        </w:rPr>
        <w:t>淮北矿业股份有限公司</w:t>
      </w:r>
      <w:r>
        <w:rPr>
          <w:rFonts w:hint="eastAsia" w:ascii="宋体" w:hAnsi="宋体"/>
          <w:b/>
          <w:sz w:val="36"/>
          <w:szCs w:val="36"/>
          <w:lang w:val="en-US" w:eastAsia="zh-CN"/>
        </w:rPr>
        <w:t>祁南</w:t>
      </w:r>
      <w:r>
        <w:rPr>
          <w:rFonts w:hint="eastAsia" w:ascii="宋体" w:hAnsi="宋体"/>
          <w:b/>
          <w:sz w:val="36"/>
          <w:szCs w:val="36"/>
        </w:rPr>
        <w:t>煤矿</w:t>
      </w:r>
      <w:r>
        <w:rPr>
          <w:rFonts w:hint="eastAsia" w:ascii="宋体" w:hAnsi="宋体"/>
          <w:b/>
          <w:sz w:val="36"/>
          <w:szCs w:val="36"/>
          <w:lang w:val="en-US" w:eastAsia="zh-CN"/>
        </w:rPr>
        <w:t>2026</w:t>
      </w:r>
      <w:r>
        <w:rPr>
          <w:rFonts w:hint="eastAsia" w:ascii="宋体" w:hAnsi="宋体"/>
          <w:b/>
          <w:sz w:val="36"/>
          <w:szCs w:val="36"/>
        </w:rPr>
        <w:t>年</w:t>
      </w:r>
    </w:p>
    <w:p w14:paraId="167652F3">
      <w:pPr>
        <w:spacing w:line="560" w:lineRule="exact"/>
        <w:jc w:val="center"/>
        <w:rPr>
          <w:rFonts w:hint="eastAsia" w:ascii="宋体" w:hAnsi="宋体"/>
          <w:b/>
          <w:sz w:val="36"/>
          <w:szCs w:val="36"/>
        </w:rPr>
      </w:pPr>
      <w:r>
        <w:rPr>
          <w:rFonts w:hint="eastAsia" w:ascii="宋体" w:hAnsi="宋体"/>
          <w:b/>
          <w:sz w:val="36"/>
          <w:szCs w:val="36"/>
          <w:lang w:val="en-US" w:eastAsia="zh-CN"/>
        </w:rPr>
        <w:t>矿用螺杆式泥浆泵</w:t>
      </w:r>
      <w:r>
        <w:rPr>
          <w:rFonts w:hint="eastAsia" w:ascii="宋体" w:hAnsi="宋体"/>
          <w:b/>
          <w:sz w:val="36"/>
          <w:szCs w:val="36"/>
        </w:rPr>
        <w:t>采购技术规格书</w:t>
      </w:r>
    </w:p>
    <w:p w14:paraId="6C6844D3">
      <w:pPr>
        <w:pStyle w:val="2"/>
        <w:spacing w:line="560" w:lineRule="exact"/>
        <w:ind w:right="210" w:rightChars="100" w:firstLine="736" w:firstLineChars="230"/>
        <w:jc w:val="both"/>
        <w:rPr>
          <w:rFonts w:hint="eastAsia" w:ascii="黑体" w:hAnsi="黑体" w:eastAsia="黑体" w:cs="仿宋_GB2312"/>
          <w:bCs/>
          <w:color w:val="auto"/>
          <w:sz w:val="32"/>
          <w:szCs w:val="32"/>
        </w:rPr>
      </w:pPr>
    </w:p>
    <w:p w14:paraId="50237798">
      <w:pPr>
        <w:pStyle w:val="2"/>
        <w:spacing w:line="560" w:lineRule="exact"/>
        <w:ind w:right="210" w:rightChars="100"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一、采购设备概况：</w:t>
      </w:r>
    </w:p>
    <w:p w14:paraId="28F76FA5">
      <w:pPr>
        <w:pStyle w:val="2"/>
        <w:spacing w:line="560" w:lineRule="exact"/>
        <w:ind w:right="210" w:rightChars="100"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本设备应用于煤矿井下污水清理，适用于环境温度：0℃～+40℃。</w:t>
      </w:r>
    </w:p>
    <w:p w14:paraId="16725907">
      <w:pPr>
        <w:pStyle w:val="2"/>
        <w:spacing w:line="560" w:lineRule="exact"/>
        <w:ind w:right="210" w:rightChars="100"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二、采购设备供货范围：</w:t>
      </w:r>
    </w:p>
    <w:p w14:paraId="41FBD46E">
      <w:pPr>
        <w:pStyle w:val="2"/>
        <w:spacing w:line="560" w:lineRule="exact"/>
        <w:ind w:firstLine="717" w:firstLineChars="230"/>
        <w:jc w:val="both"/>
        <w:rPr>
          <w:rFonts w:hint="default" w:ascii="仿宋_GB2312" w:hAnsi="仿宋_GB2312" w:eastAsia="仿宋_GB2312" w:cs="仿宋_GB2312"/>
          <w:spacing w:val="-4"/>
          <w:sz w:val="32"/>
          <w:szCs w:val="32"/>
          <w:u w:val="single"/>
          <w:lang w:val="en-US" w:eastAsia="zh-CN"/>
        </w:rPr>
      </w:pPr>
      <w:r>
        <w:rPr>
          <w:rFonts w:hint="eastAsia" w:ascii="仿宋_GB2312" w:hAnsi="仿宋_GB2312" w:eastAsia="仿宋_GB2312" w:cs="仿宋_GB2312"/>
          <w:spacing w:val="-4"/>
          <w:sz w:val="32"/>
          <w:szCs w:val="32"/>
          <w:lang w:val="en-US" w:eastAsia="zh-CN"/>
        </w:rPr>
        <w:t>设备名称：</w:t>
      </w:r>
      <w:r>
        <w:rPr>
          <w:rFonts w:hint="eastAsia" w:ascii="仿宋_GB2312" w:hAnsi="仿宋_GB2312" w:eastAsia="仿宋_GB2312" w:cs="仿宋_GB2312"/>
          <w:spacing w:val="-4"/>
          <w:sz w:val="32"/>
          <w:szCs w:val="32"/>
          <w:u w:val="single"/>
          <w:lang w:val="en-US" w:eastAsia="zh-CN"/>
        </w:rPr>
        <w:t xml:space="preserve">  矿用螺杆式泥浆泵 </w:t>
      </w:r>
    </w:p>
    <w:p w14:paraId="7F91FFA2">
      <w:pPr>
        <w:pStyle w:val="2"/>
        <w:spacing w:line="560" w:lineRule="exact"/>
        <w:ind w:firstLine="717" w:firstLineChars="230"/>
        <w:jc w:val="both"/>
        <w:rPr>
          <w:rFonts w:hint="default" w:ascii="仿宋_GB2312" w:hAnsi="仿宋_GB2312" w:eastAsia="仿宋_GB2312" w:cs="仿宋_GB2312"/>
          <w:spacing w:val="-4"/>
          <w:sz w:val="32"/>
          <w:szCs w:val="32"/>
          <w:u w:val="none"/>
          <w:lang w:val="en-US" w:eastAsia="zh-CN"/>
        </w:rPr>
      </w:pPr>
      <w:r>
        <w:rPr>
          <w:rFonts w:hint="eastAsia" w:ascii="仿宋_GB2312" w:hAnsi="仿宋_GB2312" w:eastAsia="仿宋_GB2312" w:cs="仿宋_GB2312"/>
          <w:spacing w:val="-4"/>
          <w:sz w:val="32"/>
          <w:szCs w:val="32"/>
          <w:lang w:val="en-US" w:eastAsia="zh-CN"/>
        </w:rPr>
        <w:t>采购数量：</w:t>
      </w:r>
      <w:r>
        <w:rPr>
          <w:rFonts w:hint="eastAsia" w:ascii="仿宋_GB2312" w:hAnsi="仿宋_GB2312" w:eastAsia="仿宋_GB2312" w:cs="仿宋_GB2312"/>
          <w:spacing w:val="-4"/>
          <w:sz w:val="32"/>
          <w:szCs w:val="32"/>
          <w:u w:val="single"/>
          <w:lang w:val="en-US" w:eastAsia="zh-CN"/>
        </w:rPr>
        <w:t xml:space="preserve">      1    </w:t>
      </w:r>
      <w:r>
        <w:rPr>
          <w:rFonts w:hint="eastAsia" w:ascii="仿宋_GB2312" w:hAnsi="仿宋_GB2312" w:eastAsia="仿宋_GB2312" w:cs="仿宋_GB2312"/>
          <w:spacing w:val="-4"/>
          <w:sz w:val="32"/>
          <w:szCs w:val="32"/>
          <w:u w:val="none"/>
          <w:lang w:val="en-US" w:eastAsia="zh-CN"/>
        </w:rPr>
        <w:t>（台/套）</w:t>
      </w:r>
    </w:p>
    <w:p w14:paraId="5DBE4D82">
      <w:pPr>
        <w:pStyle w:val="2"/>
        <w:spacing w:line="560" w:lineRule="exact"/>
        <w:ind w:firstLine="717" w:firstLineChars="230"/>
        <w:jc w:val="both"/>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货物需求一览表：</w:t>
      </w:r>
    </w:p>
    <w:tbl>
      <w:tblPr>
        <w:tblStyle w:val="11"/>
        <w:tblW w:w="8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2924"/>
        <w:gridCol w:w="2197"/>
        <w:gridCol w:w="1027"/>
        <w:gridCol w:w="995"/>
        <w:gridCol w:w="846"/>
      </w:tblGrid>
      <w:tr w14:paraId="1055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270B60A1">
            <w:pPr>
              <w:pStyle w:val="2"/>
              <w:spacing w:line="560" w:lineRule="exact"/>
              <w:jc w:val="center"/>
              <w:rPr>
                <w:rFonts w:hint="default" w:ascii="仿宋_GB2312" w:hAnsi="仿宋_GB2312" w:eastAsia="仿宋_GB2312" w:cs="仿宋_GB2312"/>
                <w:spacing w:val="-4"/>
                <w:sz w:val="28"/>
                <w:szCs w:val="28"/>
                <w:vertAlign w:val="baseline"/>
                <w:lang w:val="en-US" w:eastAsia="zh-CN"/>
              </w:rPr>
            </w:pPr>
            <w:r>
              <w:rPr>
                <w:rFonts w:hint="eastAsia" w:ascii="仿宋_GB2312" w:hAnsi="仿宋_GB2312" w:eastAsia="仿宋_GB2312" w:cs="仿宋_GB2312"/>
                <w:spacing w:val="-4"/>
                <w:sz w:val="28"/>
                <w:szCs w:val="28"/>
                <w:vertAlign w:val="baseline"/>
                <w:lang w:val="en-US" w:eastAsia="zh-CN"/>
              </w:rPr>
              <w:t>序号</w:t>
            </w:r>
          </w:p>
        </w:tc>
        <w:tc>
          <w:tcPr>
            <w:tcW w:w="2924" w:type="dxa"/>
            <w:noWrap w:val="0"/>
            <w:vAlign w:val="top"/>
          </w:tcPr>
          <w:p w14:paraId="7C3C0BC4">
            <w:pPr>
              <w:pStyle w:val="2"/>
              <w:spacing w:line="560" w:lineRule="exact"/>
              <w:jc w:val="center"/>
              <w:rPr>
                <w:rFonts w:hint="default" w:ascii="仿宋_GB2312" w:hAnsi="仿宋_GB2312" w:eastAsia="仿宋_GB2312" w:cs="仿宋_GB2312"/>
                <w:spacing w:val="-4"/>
                <w:sz w:val="28"/>
                <w:szCs w:val="28"/>
                <w:vertAlign w:val="baseline"/>
                <w:lang w:val="en-US" w:eastAsia="zh-CN"/>
              </w:rPr>
            </w:pPr>
            <w:r>
              <w:rPr>
                <w:rFonts w:hint="eastAsia" w:ascii="仿宋_GB2312" w:hAnsi="仿宋_GB2312" w:eastAsia="仿宋_GB2312" w:cs="仿宋_GB2312"/>
                <w:spacing w:val="-4"/>
                <w:sz w:val="28"/>
                <w:szCs w:val="28"/>
                <w:vertAlign w:val="baseline"/>
                <w:lang w:val="en-US" w:eastAsia="zh-CN"/>
              </w:rPr>
              <w:t>名称</w:t>
            </w:r>
          </w:p>
        </w:tc>
        <w:tc>
          <w:tcPr>
            <w:tcW w:w="2197" w:type="dxa"/>
            <w:noWrap w:val="0"/>
            <w:vAlign w:val="top"/>
          </w:tcPr>
          <w:p w14:paraId="2FDD6633">
            <w:pPr>
              <w:pStyle w:val="2"/>
              <w:spacing w:line="560" w:lineRule="exact"/>
              <w:jc w:val="center"/>
              <w:rPr>
                <w:rFonts w:hint="default" w:ascii="仿宋_GB2312" w:hAnsi="仿宋_GB2312" w:eastAsia="仿宋_GB2312" w:cs="仿宋_GB2312"/>
                <w:spacing w:val="-4"/>
                <w:sz w:val="28"/>
                <w:szCs w:val="28"/>
                <w:vertAlign w:val="baseline"/>
                <w:lang w:val="en-US" w:eastAsia="zh-CN"/>
              </w:rPr>
            </w:pPr>
            <w:r>
              <w:rPr>
                <w:rFonts w:hint="eastAsia" w:ascii="仿宋_GB2312" w:hAnsi="仿宋_GB2312" w:eastAsia="仿宋_GB2312" w:cs="仿宋_GB2312"/>
                <w:spacing w:val="-4"/>
                <w:sz w:val="28"/>
                <w:szCs w:val="28"/>
                <w:vertAlign w:val="baseline"/>
                <w:lang w:val="en-US" w:eastAsia="zh-CN"/>
              </w:rPr>
              <w:t>参考型号</w:t>
            </w:r>
          </w:p>
        </w:tc>
        <w:tc>
          <w:tcPr>
            <w:tcW w:w="1027" w:type="dxa"/>
            <w:noWrap w:val="0"/>
            <w:vAlign w:val="top"/>
          </w:tcPr>
          <w:p w14:paraId="46430307">
            <w:pPr>
              <w:pStyle w:val="2"/>
              <w:spacing w:line="560" w:lineRule="exact"/>
              <w:jc w:val="center"/>
              <w:rPr>
                <w:rFonts w:hint="default" w:ascii="仿宋_GB2312" w:hAnsi="仿宋_GB2312" w:eastAsia="仿宋_GB2312" w:cs="仿宋_GB2312"/>
                <w:spacing w:val="-4"/>
                <w:sz w:val="28"/>
                <w:szCs w:val="28"/>
                <w:vertAlign w:val="baseline"/>
                <w:lang w:val="en-US" w:eastAsia="zh-CN"/>
              </w:rPr>
            </w:pPr>
            <w:r>
              <w:rPr>
                <w:rFonts w:hint="eastAsia" w:ascii="仿宋_GB2312" w:hAnsi="仿宋_GB2312" w:eastAsia="仿宋_GB2312" w:cs="仿宋_GB2312"/>
                <w:spacing w:val="-4"/>
                <w:sz w:val="28"/>
                <w:szCs w:val="28"/>
                <w:vertAlign w:val="baseline"/>
                <w:lang w:val="en-US" w:eastAsia="zh-CN"/>
              </w:rPr>
              <w:t>单位</w:t>
            </w:r>
          </w:p>
        </w:tc>
        <w:tc>
          <w:tcPr>
            <w:tcW w:w="995" w:type="dxa"/>
            <w:noWrap w:val="0"/>
            <w:vAlign w:val="top"/>
          </w:tcPr>
          <w:p w14:paraId="3A37A08C">
            <w:pPr>
              <w:pStyle w:val="2"/>
              <w:spacing w:line="560" w:lineRule="exact"/>
              <w:jc w:val="center"/>
              <w:rPr>
                <w:rFonts w:hint="default" w:ascii="仿宋_GB2312" w:hAnsi="仿宋_GB2312" w:eastAsia="仿宋_GB2312" w:cs="仿宋_GB2312"/>
                <w:spacing w:val="-4"/>
                <w:sz w:val="28"/>
                <w:szCs w:val="28"/>
                <w:vertAlign w:val="baseline"/>
                <w:lang w:val="en-US" w:eastAsia="zh-CN"/>
              </w:rPr>
            </w:pPr>
            <w:r>
              <w:rPr>
                <w:rFonts w:hint="eastAsia" w:ascii="仿宋_GB2312" w:hAnsi="仿宋_GB2312" w:eastAsia="仿宋_GB2312" w:cs="仿宋_GB2312"/>
                <w:spacing w:val="-4"/>
                <w:sz w:val="28"/>
                <w:szCs w:val="28"/>
                <w:vertAlign w:val="baseline"/>
                <w:lang w:val="en-US" w:eastAsia="zh-CN"/>
              </w:rPr>
              <w:t>数量</w:t>
            </w:r>
          </w:p>
        </w:tc>
        <w:tc>
          <w:tcPr>
            <w:tcW w:w="846" w:type="dxa"/>
            <w:noWrap w:val="0"/>
            <w:vAlign w:val="top"/>
          </w:tcPr>
          <w:p w14:paraId="6F2D582B">
            <w:pPr>
              <w:pStyle w:val="2"/>
              <w:spacing w:line="560" w:lineRule="exact"/>
              <w:jc w:val="center"/>
              <w:rPr>
                <w:rFonts w:hint="default" w:ascii="仿宋_GB2312" w:hAnsi="仿宋_GB2312" w:eastAsia="仿宋_GB2312" w:cs="仿宋_GB2312"/>
                <w:spacing w:val="-4"/>
                <w:sz w:val="28"/>
                <w:szCs w:val="28"/>
                <w:vertAlign w:val="baseline"/>
                <w:lang w:val="en-US" w:eastAsia="zh-CN"/>
              </w:rPr>
            </w:pPr>
            <w:r>
              <w:rPr>
                <w:rFonts w:hint="eastAsia" w:ascii="仿宋_GB2312" w:hAnsi="仿宋_GB2312" w:eastAsia="仿宋_GB2312" w:cs="仿宋_GB2312"/>
                <w:spacing w:val="-4"/>
                <w:sz w:val="28"/>
                <w:szCs w:val="28"/>
                <w:vertAlign w:val="baseline"/>
                <w:lang w:val="en-US" w:eastAsia="zh-CN"/>
              </w:rPr>
              <w:t>备注</w:t>
            </w:r>
          </w:p>
        </w:tc>
      </w:tr>
      <w:tr w14:paraId="47B15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69136D52">
            <w:pPr>
              <w:pStyle w:val="2"/>
              <w:spacing w:line="560" w:lineRule="exact"/>
              <w:jc w:val="center"/>
              <w:rPr>
                <w:rFonts w:hint="default" w:ascii="仿宋_GB2312" w:hAnsi="仿宋_GB2312" w:eastAsia="仿宋_GB2312" w:cs="仿宋_GB2312"/>
                <w:spacing w:val="-4"/>
                <w:sz w:val="32"/>
                <w:szCs w:val="32"/>
                <w:vertAlign w:val="baseline"/>
                <w:lang w:val="en-US" w:eastAsia="zh-CN"/>
              </w:rPr>
            </w:pPr>
            <w:r>
              <w:rPr>
                <w:rFonts w:hint="eastAsia" w:ascii="仿宋_GB2312" w:hAnsi="仿宋_GB2312" w:eastAsia="仿宋_GB2312" w:cs="仿宋_GB2312"/>
                <w:spacing w:val="-4"/>
                <w:sz w:val="32"/>
                <w:szCs w:val="32"/>
                <w:vertAlign w:val="baseline"/>
                <w:lang w:val="en-US" w:eastAsia="zh-CN"/>
              </w:rPr>
              <w:t>1</w:t>
            </w:r>
          </w:p>
        </w:tc>
        <w:tc>
          <w:tcPr>
            <w:tcW w:w="2924" w:type="dxa"/>
            <w:noWrap w:val="0"/>
            <w:vAlign w:val="top"/>
          </w:tcPr>
          <w:p w14:paraId="54D2ADEB">
            <w:pPr>
              <w:pStyle w:val="2"/>
              <w:spacing w:line="560" w:lineRule="exact"/>
              <w:jc w:val="center"/>
              <w:rPr>
                <w:rFonts w:hint="default" w:ascii="仿宋_GB2312" w:hAnsi="仿宋_GB2312" w:eastAsia="仿宋_GB2312" w:cs="仿宋_GB2312"/>
                <w:spacing w:val="-4"/>
                <w:sz w:val="32"/>
                <w:szCs w:val="32"/>
                <w:vertAlign w:val="baseline"/>
                <w:lang w:val="en-US" w:eastAsia="zh-CN"/>
              </w:rPr>
            </w:pPr>
            <w:r>
              <w:rPr>
                <w:rFonts w:hint="default" w:ascii="仿宋_GB2312" w:hAnsi="仿宋_GB2312" w:eastAsia="仿宋_GB2312" w:cs="仿宋_GB2312"/>
                <w:spacing w:val="-4"/>
                <w:sz w:val="32"/>
                <w:szCs w:val="32"/>
                <w:vertAlign w:val="baseline"/>
                <w:lang w:val="en-US" w:eastAsia="zh-CN"/>
              </w:rPr>
              <w:t>矿用螺杆式泥浆泵</w:t>
            </w:r>
          </w:p>
        </w:tc>
        <w:tc>
          <w:tcPr>
            <w:tcW w:w="2197" w:type="dxa"/>
            <w:noWrap w:val="0"/>
            <w:vAlign w:val="top"/>
          </w:tcPr>
          <w:p w14:paraId="110A64FE">
            <w:pPr>
              <w:pStyle w:val="2"/>
              <w:spacing w:line="560" w:lineRule="exact"/>
              <w:jc w:val="left"/>
              <w:rPr>
                <w:rFonts w:hint="default" w:ascii="仿宋_GB2312" w:hAnsi="仿宋_GB2312" w:eastAsia="仿宋_GB2312" w:cs="仿宋_GB2312"/>
                <w:spacing w:val="-4"/>
                <w:sz w:val="32"/>
                <w:szCs w:val="32"/>
                <w:vertAlign w:val="baseline"/>
                <w:lang w:val="en-US" w:eastAsia="zh-CN"/>
              </w:rPr>
            </w:pPr>
            <w:r>
              <w:rPr>
                <w:rFonts w:hint="default" w:ascii="仿宋_GB2312" w:hAnsi="仿宋_GB2312" w:eastAsia="仿宋_GB2312" w:cs="仿宋_GB2312"/>
                <w:spacing w:val="-4"/>
                <w:sz w:val="32"/>
                <w:szCs w:val="32"/>
                <w:vertAlign w:val="baseline"/>
                <w:lang w:val="en-US" w:eastAsia="zh-CN"/>
              </w:rPr>
              <w:t>GN15/1.2-15</w:t>
            </w:r>
          </w:p>
        </w:tc>
        <w:tc>
          <w:tcPr>
            <w:tcW w:w="1027" w:type="dxa"/>
            <w:noWrap w:val="0"/>
            <w:vAlign w:val="top"/>
          </w:tcPr>
          <w:p w14:paraId="06B24D24">
            <w:pPr>
              <w:pStyle w:val="2"/>
              <w:spacing w:line="560" w:lineRule="exact"/>
              <w:jc w:val="center"/>
              <w:rPr>
                <w:rFonts w:hint="default" w:ascii="仿宋_GB2312" w:hAnsi="仿宋_GB2312" w:eastAsia="仿宋_GB2312" w:cs="仿宋_GB2312"/>
                <w:spacing w:val="-4"/>
                <w:sz w:val="32"/>
                <w:szCs w:val="32"/>
                <w:vertAlign w:val="baseline"/>
                <w:lang w:val="en-US" w:eastAsia="zh-CN"/>
              </w:rPr>
            </w:pPr>
            <w:r>
              <w:rPr>
                <w:rFonts w:hint="eastAsia" w:ascii="仿宋_GB2312" w:hAnsi="仿宋_GB2312" w:eastAsia="仿宋_GB2312" w:cs="仿宋_GB2312"/>
                <w:spacing w:val="-4"/>
                <w:sz w:val="32"/>
                <w:szCs w:val="32"/>
                <w:vertAlign w:val="baseline"/>
                <w:lang w:val="en-US" w:eastAsia="zh-CN"/>
              </w:rPr>
              <w:t>台</w:t>
            </w:r>
          </w:p>
        </w:tc>
        <w:tc>
          <w:tcPr>
            <w:tcW w:w="995" w:type="dxa"/>
            <w:noWrap w:val="0"/>
            <w:vAlign w:val="top"/>
          </w:tcPr>
          <w:p w14:paraId="5CC9DF64">
            <w:pPr>
              <w:pStyle w:val="2"/>
              <w:spacing w:line="560" w:lineRule="exact"/>
              <w:jc w:val="center"/>
              <w:rPr>
                <w:rFonts w:hint="default" w:ascii="仿宋_GB2312" w:hAnsi="仿宋_GB2312" w:eastAsia="仿宋_GB2312" w:cs="仿宋_GB2312"/>
                <w:spacing w:val="-4"/>
                <w:sz w:val="32"/>
                <w:szCs w:val="32"/>
                <w:vertAlign w:val="baseline"/>
                <w:lang w:val="en-US" w:eastAsia="zh-CN"/>
              </w:rPr>
            </w:pPr>
            <w:r>
              <w:rPr>
                <w:rFonts w:hint="eastAsia" w:ascii="仿宋_GB2312" w:hAnsi="仿宋_GB2312" w:eastAsia="仿宋_GB2312" w:cs="仿宋_GB2312"/>
                <w:spacing w:val="-4"/>
                <w:sz w:val="32"/>
                <w:szCs w:val="32"/>
                <w:vertAlign w:val="baseline"/>
                <w:lang w:val="en-US" w:eastAsia="zh-CN"/>
              </w:rPr>
              <w:t>1</w:t>
            </w:r>
          </w:p>
        </w:tc>
        <w:tc>
          <w:tcPr>
            <w:tcW w:w="846" w:type="dxa"/>
            <w:noWrap w:val="0"/>
            <w:vAlign w:val="top"/>
          </w:tcPr>
          <w:p w14:paraId="66A15EEC">
            <w:pPr>
              <w:pStyle w:val="2"/>
              <w:spacing w:line="560" w:lineRule="exact"/>
              <w:jc w:val="center"/>
              <w:rPr>
                <w:rFonts w:hint="default" w:ascii="仿宋_GB2312" w:hAnsi="仿宋_GB2312" w:eastAsia="仿宋_GB2312" w:cs="仿宋_GB2312"/>
                <w:spacing w:val="-4"/>
                <w:sz w:val="32"/>
                <w:szCs w:val="32"/>
                <w:vertAlign w:val="baseline"/>
                <w:lang w:val="en-US" w:eastAsia="zh-CN"/>
              </w:rPr>
            </w:pPr>
          </w:p>
        </w:tc>
      </w:tr>
      <w:tr w14:paraId="022DA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9" w:type="dxa"/>
            <w:noWrap w:val="0"/>
            <w:vAlign w:val="top"/>
          </w:tcPr>
          <w:p w14:paraId="458F1844">
            <w:pPr>
              <w:pStyle w:val="2"/>
              <w:spacing w:line="560" w:lineRule="exact"/>
              <w:jc w:val="center"/>
              <w:rPr>
                <w:rFonts w:hint="default" w:ascii="仿宋_GB2312" w:hAnsi="仿宋_GB2312" w:eastAsia="仿宋_GB2312" w:cs="仿宋_GB2312"/>
                <w:spacing w:val="-4"/>
                <w:sz w:val="32"/>
                <w:szCs w:val="32"/>
                <w:vertAlign w:val="baseline"/>
                <w:lang w:val="en-US" w:eastAsia="zh-CN"/>
              </w:rPr>
            </w:pPr>
            <w:r>
              <w:rPr>
                <w:rFonts w:hint="eastAsia" w:ascii="仿宋_GB2312" w:hAnsi="仿宋_GB2312" w:eastAsia="仿宋_GB2312" w:cs="仿宋_GB2312"/>
                <w:spacing w:val="-4"/>
                <w:sz w:val="32"/>
                <w:szCs w:val="32"/>
                <w:vertAlign w:val="baseline"/>
                <w:lang w:val="en-US" w:eastAsia="zh-CN"/>
              </w:rPr>
              <w:t>2</w:t>
            </w:r>
          </w:p>
        </w:tc>
        <w:tc>
          <w:tcPr>
            <w:tcW w:w="2924" w:type="dxa"/>
            <w:noWrap w:val="0"/>
            <w:vAlign w:val="top"/>
          </w:tcPr>
          <w:p w14:paraId="44C7A6A2">
            <w:pPr>
              <w:pStyle w:val="2"/>
              <w:spacing w:line="560" w:lineRule="exact"/>
              <w:jc w:val="center"/>
              <w:rPr>
                <w:rFonts w:hint="default" w:ascii="仿宋_GB2312" w:hAnsi="仿宋_GB2312" w:eastAsia="仿宋_GB2312" w:cs="仿宋_GB2312"/>
                <w:spacing w:val="-4"/>
                <w:sz w:val="32"/>
                <w:szCs w:val="32"/>
                <w:vertAlign w:val="baseline"/>
                <w:lang w:val="en-US" w:eastAsia="zh-CN"/>
              </w:rPr>
            </w:pPr>
          </w:p>
        </w:tc>
        <w:tc>
          <w:tcPr>
            <w:tcW w:w="2197" w:type="dxa"/>
            <w:noWrap w:val="0"/>
            <w:vAlign w:val="top"/>
          </w:tcPr>
          <w:p w14:paraId="725E3FEE">
            <w:pPr>
              <w:pStyle w:val="2"/>
              <w:spacing w:line="560" w:lineRule="exact"/>
              <w:jc w:val="center"/>
              <w:rPr>
                <w:rFonts w:hint="default" w:ascii="仿宋_GB2312" w:hAnsi="仿宋_GB2312" w:eastAsia="仿宋_GB2312" w:cs="仿宋_GB2312"/>
                <w:spacing w:val="-4"/>
                <w:sz w:val="32"/>
                <w:szCs w:val="32"/>
                <w:vertAlign w:val="baseline"/>
                <w:lang w:val="en-US" w:eastAsia="zh-CN"/>
              </w:rPr>
            </w:pPr>
          </w:p>
        </w:tc>
        <w:tc>
          <w:tcPr>
            <w:tcW w:w="1027" w:type="dxa"/>
            <w:noWrap w:val="0"/>
            <w:vAlign w:val="top"/>
          </w:tcPr>
          <w:p w14:paraId="34824875">
            <w:pPr>
              <w:pStyle w:val="2"/>
              <w:spacing w:line="560" w:lineRule="exact"/>
              <w:jc w:val="center"/>
              <w:rPr>
                <w:rFonts w:hint="default" w:ascii="仿宋_GB2312" w:hAnsi="仿宋_GB2312" w:eastAsia="仿宋_GB2312" w:cs="仿宋_GB2312"/>
                <w:spacing w:val="-4"/>
                <w:sz w:val="32"/>
                <w:szCs w:val="32"/>
                <w:vertAlign w:val="baseline"/>
                <w:lang w:val="en-US" w:eastAsia="zh-CN"/>
              </w:rPr>
            </w:pPr>
          </w:p>
        </w:tc>
        <w:tc>
          <w:tcPr>
            <w:tcW w:w="995" w:type="dxa"/>
            <w:noWrap w:val="0"/>
            <w:vAlign w:val="top"/>
          </w:tcPr>
          <w:p w14:paraId="00D8FA14">
            <w:pPr>
              <w:pStyle w:val="2"/>
              <w:spacing w:line="560" w:lineRule="exact"/>
              <w:jc w:val="center"/>
              <w:rPr>
                <w:rFonts w:hint="default" w:ascii="仿宋_GB2312" w:hAnsi="仿宋_GB2312" w:eastAsia="仿宋_GB2312" w:cs="仿宋_GB2312"/>
                <w:spacing w:val="-4"/>
                <w:sz w:val="32"/>
                <w:szCs w:val="32"/>
                <w:vertAlign w:val="baseline"/>
                <w:lang w:val="en-US" w:eastAsia="zh-CN"/>
              </w:rPr>
            </w:pPr>
          </w:p>
        </w:tc>
        <w:tc>
          <w:tcPr>
            <w:tcW w:w="846" w:type="dxa"/>
            <w:noWrap w:val="0"/>
            <w:vAlign w:val="top"/>
          </w:tcPr>
          <w:p w14:paraId="55116537">
            <w:pPr>
              <w:pStyle w:val="2"/>
              <w:spacing w:line="560" w:lineRule="exact"/>
              <w:jc w:val="center"/>
              <w:rPr>
                <w:rFonts w:hint="default" w:ascii="仿宋_GB2312" w:hAnsi="仿宋_GB2312" w:eastAsia="仿宋_GB2312" w:cs="仿宋_GB2312"/>
                <w:spacing w:val="-4"/>
                <w:sz w:val="32"/>
                <w:szCs w:val="32"/>
                <w:vertAlign w:val="baseline"/>
                <w:lang w:val="en-US" w:eastAsia="zh-CN"/>
              </w:rPr>
            </w:pPr>
          </w:p>
        </w:tc>
      </w:tr>
    </w:tbl>
    <w:p w14:paraId="4E2DE5DD">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注：</w:t>
      </w:r>
      <w:r>
        <w:rPr>
          <w:rFonts w:hint="eastAsia" w:ascii="仿宋_GB2312" w:hAnsi="仿宋_GB2312" w:eastAsia="仿宋_GB2312" w:cs="仿宋_GB2312"/>
          <w:spacing w:val="-4"/>
          <w:sz w:val="32"/>
          <w:szCs w:val="32"/>
          <w:lang w:val="en-US" w:eastAsia="zh-CN"/>
        </w:rPr>
        <w:t>上述型号为参考型号，具体</w:t>
      </w:r>
      <w:r>
        <w:rPr>
          <w:rFonts w:hint="default" w:ascii="仿宋_GB2312" w:hAnsi="仿宋_GB2312" w:eastAsia="仿宋_GB2312" w:cs="仿宋_GB2312"/>
          <w:spacing w:val="-4"/>
          <w:sz w:val="32"/>
          <w:szCs w:val="32"/>
          <w:lang w:val="en-US" w:eastAsia="zh-CN"/>
        </w:rPr>
        <w:t>以</w:t>
      </w:r>
      <w:r>
        <w:rPr>
          <w:rFonts w:hint="eastAsia" w:ascii="仿宋_GB2312" w:hAnsi="仿宋_GB2312" w:eastAsia="仿宋_GB2312" w:cs="仿宋_GB2312"/>
          <w:spacing w:val="-4"/>
          <w:sz w:val="32"/>
          <w:szCs w:val="32"/>
          <w:lang w:val="en-US" w:eastAsia="zh-CN"/>
        </w:rPr>
        <w:t>成交供应商供货型号</w:t>
      </w:r>
      <w:r>
        <w:rPr>
          <w:rFonts w:hint="default" w:ascii="仿宋_GB2312" w:hAnsi="仿宋_GB2312" w:eastAsia="仿宋_GB2312" w:cs="仿宋_GB2312"/>
          <w:spacing w:val="-4"/>
          <w:sz w:val="32"/>
          <w:szCs w:val="32"/>
          <w:lang w:val="en-US" w:eastAsia="zh-CN"/>
        </w:rPr>
        <w:t>为准。</w:t>
      </w:r>
    </w:p>
    <w:p w14:paraId="6F6818AF">
      <w:pPr>
        <w:pStyle w:val="2"/>
        <w:numPr>
          <w:ilvl w:val="0"/>
          <w:numId w:val="2"/>
        </w:numPr>
        <w:spacing w:line="560" w:lineRule="exact"/>
        <w:ind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执行标准及规范：</w:t>
      </w:r>
    </w:p>
    <w:p w14:paraId="7C7354F3">
      <w:pPr>
        <w:pStyle w:val="2"/>
        <w:spacing w:line="560" w:lineRule="exact"/>
        <w:ind w:firstLine="717" w:firstLineChars="230"/>
        <w:jc w:val="both"/>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所供应的货物将按下列标准（推荐）进行设计和制造。</w:t>
      </w:r>
    </w:p>
    <w:p w14:paraId="1FDAD75B">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1.符合2025版《煤矿安全规程》</w:t>
      </w:r>
    </w:p>
    <w:p w14:paraId="1960F044">
      <w:pPr>
        <w:pStyle w:val="2"/>
        <w:spacing w:line="560" w:lineRule="exact"/>
        <w:ind w:firstLine="717" w:firstLineChars="230"/>
        <w:jc w:val="both"/>
        <w:rPr>
          <w:rFonts w:hint="default"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2.JB/T 8091-1998 行业标准《螺杆泵试验方法》</w:t>
      </w:r>
    </w:p>
    <w:p w14:paraId="238C775D">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3.MT/T 661-2011 煤矿井下用电器设备通用技术条件</w:t>
      </w:r>
    </w:p>
    <w:p w14:paraId="22784FB1">
      <w:pPr>
        <w:pStyle w:val="2"/>
        <w:spacing w:line="560" w:lineRule="exact"/>
        <w:ind w:firstLine="717" w:firstLineChars="230"/>
        <w:jc w:val="both"/>
        <w:rPr>
          <w:rFonts w:hint="default"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4.</w:t>
      </w:r>
      <w:r>
        <w:rPr>
          <w:rFonts w:hint="default" w:ascii="仿宋_GB2312" w:hAnsi="仿宋_GB2312" w:eastAsia="仿宋_GB2312" w:cs="仿宋_GB2312"/>
          <w:color w:val="auto"/>
          <w:spacing w:val="-4"/>
          <w:sz w:val="32"/>
          <w:szCs w:val="32"/>
          <w:lang w:val="en-US" w:eastAsia="zh-CN"/>
        </w:rPr>
        <w:t>GB/T 29531-2013《泵的振动测量与评价方法》</w:t>
      </w:r>
    </w:p>
    <w:p w14:paraId="632837E3">
      <w:pPr>
        <w:pStyle w:val="2"/>
        <w:spacing w:line="560" w:lineRule="exact"/>
        <w:ind w:firstLine="717" w:firstLineChars="230"/>
        <w:jc w:val="both"/>
        <w:rPr>
          <w:rFonts w:hint="default"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5.</w:t>
      </w:r>
      <w:r>
        <w:rPr>
          <w:rFonts w:hint="default" w:ascii="仿宋_GB2312" w:hAnsi="仿宋_GB2312" w:eastAsia="仿宋_GB2312" w:cs="仿宋_GB2312"/>
          <w:color w:val="auto"/>
          <w:spacing w:val="-4"/>
          <w:sz w:val="32"/>
          <w:szCs w:val="32"/>
          <w:lang w:val="en-US" w:eastAsia="zh-CN"/>
        </w:rPr>
        <w:t>JB/T 4297-2021《泵产品涂漆 技术条件》</w:t>
      </w:r>
    </w:p>
    <w:p w14:paraId="0B190663">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6.设计、制造需符合国家及行业制定的最新标准或规范</w:t>
      </w:r>
    </w:p>
    <w:p w14:paraId="4FBBAF6D">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7.本技术规范书提出的是最低限度的技术要求，供货方应提供符合本技术规范书和工业标准的优质产品。</w:t>
      </w:r>
    </w:p>
    <w:p w14:paraId="24A92245">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8.如果供货方没有以书面形式对本规范书的条文提出异议，则表明供货方认同提供的产品技术指标均能满足本规范书的要求。</w:t>
      </w:r>
    </w:p>
    <w:p w14:paraId="65725D7B">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9.本技术规格书所使用的标准如与供货方所执行的标准不一致时，按最新、最高标准执行。</w:t>
      </w:r>
    </w:p>
    <w:p w14:paraId="1F265392">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10.本规格书未尽事宜，由双方协商确定。</w:t>
      </w:r>
    </w:p>
    <w:p w14:paraId="79571B0B">
      <w:pPr>
        <w:pStyle w:val="2"/>
        <w:spacing w:line="560" w:lineRule="exact"/>
        <w:ind w:firstLine="717" w:firstLineChars="230"/>
        <w:jc w:val="both"/>
        <w:rPr>
          <w:rFonts w:hint="default" w:ascii="仿宋_GB2312" w:hAnsi="仿宋_GB2312" w:eastAsia="仿宋_GB2312" w:cs="仿宋_GB2312"/>
          <w:color w:val="FF0000"/>
          <w:spacing w:val="-4"/>
          <w:sz w:val="32"/>
          <w:szCs w:val="32"/>
          <w:lang w:val="en-US" w:eastAsia="zh-CN"/>
        </w:rPr>
      </w:pPr>
      <w:r>
        <w:rPr>
          <w:rFonts w:hint="default" w:ascii="仿宋_GB2312" w:hAnsi="仿宋_GB2312" w:eastAsia="仿宋_GB2312" w:cs="仿宋_GB2312"/>
          <w:spacing w:val="-4"/>
          <w:sz w:val="32"/>
          <w:szCs w:val="32"/>
          <w:lang w:val="en-US" w:eastAsia="zh-CN"/>
        </w:rPr>
        <w:t>上述标准均应为响应截止日时的最新有效版，所有标准均以合同执行阶段现行最新有效版本为准，若标准与采购技术要求存在差异，按其中要求最严格的版本执行。</w:t>
      </w:r>
    </w:p>
    <w:p w14:paraId="12A4DDC2">
      <w:pPr>
        <w:pStyle w:val="2"/>
        <w:spacing w:line="560" w:lineRule="exact"/>
        <w:ind w:firstLine="736" w:firstLineChars="230"/>
        <w:jc w:val="both"/>
        <w:rPr>
          <w:rFonts w:hint="eastAsia" w:ascii="黑体" w:hAnsi="黑体" w:eastAsia="黑体" w:cs="仿宋_GB2312"/>
          <w:bCs/>
          <w:color w:val="FF0000"/>
          <w:sz w:val="32"/>
          <w:szCs w:val="32"/>
        </w:rPr>
      </w:pPr>
      <w:r>
        <w:rPr>
          <w:rFonts w:hint="eastAsia" w:ascii="黑体" w:hAnsi="黑体" w:eastAsia="黑体" w:cs="仿宋_GB2312"/>
          <w:bCs/>
          <w:color w:val="auto"/>
          <w:sz w:val="32"/>
          <w:szCs w:val="32"/>
        </w:rPr>
        <w:t>四、技术参数及要求：</w:t>
      </w:r>
    </w:p>
    <w:p w14:paraId="65EDBB2A">
      <w:pPr>
        <w:pStyle w:val="2"/>
        <w:spacing w:line="560" w:lineRule="exact"/>
        <w:ind w:firstLine="624" w:firstLineChars="200"/>
        <w:jc w:val="both"/>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（一）技术参数</w:t>
      </w:r>
    </w:p>
    <w:tbl>
      <w:tblPr>
        <w:tblStyle w:val="10"/>
        <w:tblpPr w:leftFromText="180" w:rightFromText="180" w:vertAnchor="text" w:horzAnchor="page" w:tblpX="1732" w:tblpY="1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4"/>
        <w:gridCol w:w="2434"/>
        <w:gridCol w:w="4545"/>
      </w:tblGrid>
      <w:tr w14:paraId="4EF2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484" w:type="dxa"/>
            <w:noWrap w:val="0"/>
            <w:vAlign w:val="center"/>
          </w:tcPr>
          <w:p w14:paraId="26E86086">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序号</w:t>
            </w:r>
          </w:p>
        </w:tc>
        <w:tc>
          <w:tcPr>
            <w:tcW w:w="2434" w:type="dxa"/>
            <w:noWrap w:val="0"/>
            <w:vAlign w:val="center"/>
          </w:tcPr>
          <w:p w14:paraId="52AF088D">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名称</w:t>
            </w:r>
          </w:p>
        </w:tc>
        <w:tc>
          <w:tcPr>
            <w:tcW w:w="4545" w:type="dxa"/>
            <w:noWrap w:val="0"/>
            <w:vAlign w:val="center"/>
          </w:tcPr>
          <w:p w14:paraId="5E06C32A">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*参数值</w:t>
            </w:r>
          </w:p>
        </w:tc>
      </w:tr>
      <w:tr w14:paraId="709F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484" w:type="dxa"/>
            <w:noWrap w:val="0"/>
            <w:vAlign w:val="center"/>
          </w:tcPr>
          <w:p w14:paraId="49804755">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w:t>
            </w:r>
          </w:p>
        </w:tc>
        <w:tc>
          <w:tcPr>
            <w:tcW w:w="2434" w:type="dxa"/>
            <w:noWrap w:val="0"/>
            <w:vAlign w:val="center"/>
          </w:tcPr>
          <w:p w14:paraId="35F8D3C6">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型号</w:t>
            </w:r>
          </w:p>
        </w:tc>
        <w:tc>
          <w:tcPr>
            <w:tcW w:w="4545" w:type="dxa"/>
            <w:noWrap w:val="0"/>
            <w:vAlign w:val="center"/>
          </w:tcPr>
          <w:p w14:paraId="028406E7">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GN15/1.2-15</w:t>
            </w:r>
          </w:p>
        </w:tc>
      </w:tr>
      <w:tr w14:paraId="530C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484" w:type="dxa"/>
            <w:noWrap w:val="0"/>
            <w:vAlign w:val="center"/>
          </w:tcPr>
          <w:p w14:paraId="62AFAA42">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2</w:t>
            </w:r>
          </w:p>
        </w:tc>
        <w:tc>
          <w:tcPr>
            <w:tcW w:w="2434" w:type="dxa"/>
            <w:noWrap w:val="0"/>
            <w:vAlign w:val="center"/>
          </w:tcPr>
          <w:p w14:paraId="5E7A8059">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流量</w:t>
            </w:r>
          </w:p>
        </w:tc>
        <w:tc>
          <w:tcPr>
            <w:tcW w:w="4545" w:type="dxa"/>
            <w:noWrap w:val="0"/>
            <w:vAlign w:val="center"/>
          </w:tcPr>
          <w:p w14:paraId="4486C7ED">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12-18m³/h</w:t>
            </w:r>
          </w:p>
        </w:tc>
      </w:tr>
      <w:tr w14:paraId="45CCD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484" w:type="dxa"/>
            <w:noWrap w:val="0"/>
            <w:vAlign w:val="center"/>
          </w:tcPr>
          <w:p w14:paraId="39A67780">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3</w:t>
            </w:r>
          </w:p>
        </w:tc>
        <w:tc>
          <w:tcPr>
            <w:tcW w:w="2434" w:type="dxa"/>
            <w:noWrap w:val="0"/>
            <w:vAlign w:val="center"/>
          </w:tcPr>
          <w:p w14:paraId="715989DC">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扬程</w:t>
            </w:r>
          </w:p>
        </w:tc>
        <w:tc>
          <w:tcPr>
            <w:tcW w:w="4545" w:type="dxa"/>
            <w:noWrap w:val="0"/>
            <w:vAlign w:val="center"/>
          </w:tcPr>
          <w:p w14:paraId="5FFA431A">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0-120m</w:t>
            </w:r>
          </w:p>
        </w:tc>
      </w:tr>
      <w:tr w14:paraId="4B56C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484" w:type="dxa"/>
            <w:noWrap w:val="0"/>
            <w:vAlign w:val="center"/>
          </w:tcPr>
          <w:p w14:paraId="75FEFA8A">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4</w:t>
            </w:r>
          </w:p>
        </w:tc>
        <w:tc>
          <w:tcPr>
            <w:tcW w:w="2434" w:type="dxa"/>
            <w:noWrap w:val="0"/>
            <w:vAlign w:val="center"/>
          </w:tcPr>
          <w:p w14:paraId="01F40C94">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吸程</w:t>
            </w:r>
          </w:p>
        </w:tc>
        <w:tc>
          <w:tcPr>
            <w:tcW w:w="4545" w:type="dxa"/>
            <w:noWrap w:val="0"/>
            <w:vAlign w:val="center"/>
          </w:tcPr>
          <w:p w14:paraId="06FC65C7">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7.5m</w:t>
            </w:r>
          </w:p>
        </w:tc>
      </w:tr>
      <w:tr w14:paraId="017F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484" w:type="dxa"/>
            <w:noWrap w:val="0"/>
            <w:vAlign w:val="center"/>
          </w:tcPr>
          <w:p w14:paraId="23919001">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5</w:t>
            </w:r>
          </w:p>
        </w:tc>
        <w:tc>
          <w:tcPr>
            <w:tcW w:w="2434" w:type="dxa"/>
            <w:noWrap w:val="0"/>
            <w:vAlign w:val="center"/>
          </w:tcPr>
          <w:p w14:paraId="4D618159">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功率</w:t>
            </w:r>
          </w:p>
        </w:tc>
        <w:tc>
          <w:tcPr>
            <w:tcW w:w="4545" w:type="dxa"/>
            <w:noWrap w:val="0"/>
            <w:vAlign w:val="center"/>
          </w:tcPr>
          <w:p w14:paraId="6D27EA41">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15kW</w:t>
            </w:r>
          </w:p>
        </w:tc>
      </w:tr>
      <w:tr w14:paraId="48FB9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484" w:type="dxa"/>
            <w:noWrap w:val="0"/>
            <w:vAlign w:val="center"/>
          </w:tcPr>
          <w:p w14:paraId="647DE54B">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6</w:t>
            </w:r>
          </w:p>
        </w:tc>
        <w:tc>
          <w:tcPr>
            <w:tcW w:w="2434" w:type="dxa"/>
            <w:noWrap w:val="0"/>
            <w:vAlign w:val="center"/>
          </w:tcPr>
          <w:p w14:paraId="78C6E471">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电机电压</w:t>
            </w:r>
          </w:p>
        </w:tc>
        <w:tc>
          <w:tcPr>
            <w:tcW w:w="4545" w:type="dxa"/>
            <w:noWrap w:val="0"/>
            <w:vAlign w:val="center"/>
          </w:tcPr>
          <w:p w14:paraId="5E12D164">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660/380V</w:t>
            </w:r>
          </w:p>
        </w:tc>
      </w:tr>
      <w:tr w14:paraId="6CF65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1484" w:type="dxa"/>
            <w:noWrap w:val="0"/>
            <w:vAlign w:val="center"/>
          </w:tcPr>
          <w:p w14:paraId="12CBAD69">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7</w:t>
            </w:r>
          </w:p>
        </w:tc>
        <w:tc>
          <w:tcPr>
            <w:tcW w:w="2434" w:type="dxa"/>
            <w:noWrap w:val="0"/>
            <w:vAlign w:val="center"/>
          </w:tcPr>
          <w:p w14:paraId="51C3DFAD">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进口尺寸</w:t>
            </w:r>
          </w:p>
        </w:tc>
        <w:tc>
          <w:tcPr>
            <w:tcW w:w="4545" w:type="dxa"/>
            <w:noWrap w:val="0"/>
            <w:vAlign w:val="center"/>
          </w:tcPr>
          <w:p w14:paraId="240C501E">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100mm</w:t>
            </w:r>
          </w:p>
        </w:tc>
      </w:tr>
      <w:tr w14:paraId="0830C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484" w:type="dxa"/>
            <w:noWrap w:val="0"/>
            <w:vAlign w:val="center"/>
          </w:tcPr>
          <w:p w14:paraId="744F84F0">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8</w:t>
            </w:r>
          </w:p>
        </w:tc>
        <w:tc>
          <w:tcPr>
            <w:tcW w:w="2434" w:type="dxa"/>
            <w:noWrap w:val="0"/>
            <w:vAlign w:val="center"/>
          </w:tcPr>
          <w:p w14:paraId="641636F7">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出口尺寸</w:t>
            </w:r>
          </w:p>
        </w:tc>
        <w:tc>
          <w:tcPr>
            <w:tcW w:w="4545" w:type="dxa"/>
            <w:noWrap w:val="0"/>
            <w:vAlign w:val="center"/>
          </w:tcPr>
          <w:p w14:paraId="438B5EB7">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100mm</w:t>
            </w:r>
          </w:p>
        </w:tc>
      </w:tr>
      <w:tr w14:paraId="6804A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484" w:type="dxa"/>
            <w:noWrap w:val="0"/>
            <w:vAlign w:val="center"/>
          </w:tcPr>
          <w:p w14:paraId="7EC78FCB">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9</w:t>
            </w:r>
          </w:p>
        </w:tc>
        <w:tc>
          <w:tcPr>
            <w:tcW w:w="2434" w:type="dxa"/>
            <w:noWrap w:val="0"/>
            <w:vAlign w:val="center"/>
          </w:tcPr>
          <w:p w14:paraId="03CEE6E9">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电机转速</w:t>
            </w:r>
          </w:p>
        </w:tc>
        <w:tc>
          <w:tcPr>
            <w:tcW w:w="4545" w:type="dxa"/>
            <w:noWrap w:val="0"/>
            <w:vAlign w:val="center"/>
          </w:tcPr>
          <w:p w14:paraId="037B6315">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1480r/min</w:t>
            </w:r>
          </w:p>
        </w:tc>
      </w:tr>
      <w:tr w14:paraId="34E7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484" w:type="dxa"/>
            <w:noWrap w:val="0"/>
            <w:vAlign w:val="center"/>
          </w:tcPr>
          <w:p w14:paraId="0DD4CAA9">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10</w:t>
            </w:r>
          </w:p>
        </w:tc>
        <w:tc>
          <w:tcPr>
            <w:tcW w:w="2434" w:type="dxa"/>
            <w:noWrap w:val="0"/>
            <w:vAlign w:val="center"/>
          </w:tcPr>
          <w:p w14:paraId="6A2C5588">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效率</w:t>
            </w:r>
          </w:p>
        </w:tc>
        <w:tc>
          <w:tcPr>
            <w:tcW w:w="4545" w:type="dxa"/>
            <w:noWrap w:val="0"/>
            <w:vAlign w:val="center"/>
          </w:tcPr>
          <w:p w14:paraId="6E2CAB9D">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不低于66.6%</w:t>
            </w:r>
          </w:p>
        </w:tc>
      </w:tr>
      <w:tr w14:paraId="16CC3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1484" w:type="dxa"/>
            <w:noWrap w:val="0"/>
            <w:vAlign w:val="center"/>
          </w:tcPr>
          <w:p w14:paraId="5D3A3338">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11</w:t>
            </w:r>
          </w:p>
        </w:tc>
        <w:tc>
          <w:tcPr>
            <w:tcW w:w="2434" w:type="dxa"/>
            <w:noWrap w:val="0"/>
            <w:vAlign w:val="center"/>
          </w:tcPr>
          <w:p w14:paraId="7ACAE7E7">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汽蚀余量</w:t>
            </w:r>
          </w:p>
        </w:tc>
        <w:tc>
          <w:tcPr>
            <w:tcW w:w="4545" w:type="dxa"/>
            <w:noWrap w:val="0"/>
            <w:vAlign w:val="center"/>
          </w:tcPr>
          <w:p w14:paraId="2FD09254">
            <w:pPr>
              <w:pStyle w:val="2"/>
              <w:numPr>
                <w:ilvl w:val="0"/>
                <w:numId w:val="0"/>
              </w:numPr>
              <w:spacing w:line="560" w:lineRule="exact"/>
              <w:ind w:firstLine="624" w:firstLineChars="20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不低于5m</w:t>
            </w:r>
          </w:p>
        </w:tc>
      </w:tr>
    </w:tbl>
    <w:p w14:paraId="58B5F135">
      <w:pPr>
        <w:pStyle w:val="2"/>
        <w:numPr>
          <w:ilvl w:val="0"/>
          <w:numId w:val="3"/>
        </w:numPr>
        <w:spacing w:line="560" w:lineRule="exact"/>
        <w:ind w:firstLine="624" w:firstLineChars="200"/>
        <w:jc w:val="both"/>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技术要求</w:t>
      </w:r>
    </w:p>
    <w:p w14:paraId="069B1775">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（1）采用填料密封。</w:t>
      </w:r>
    </w:p>
    <w:p w14:paraId="63AEE941">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（2）设备外部刷深绿色磁漆。</w:t>
      </w:r>
    </w:p>
    <w:p w14:paraId="3A7F4B9C">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（3）设备的泄漏、振动和噪音符合国家标准。</w:t>
      </w:r>
    </w:p>
    <w:p w14:paraId="1E0510C8">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（4）抽排浓度40-50%，泥浆泵采用电机驱动。</w:t>
      </w:r>
    </w:p>
    <w:p w14:paraId="66A57BD4">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（5）泥浆泵定子内衬材质要求为20Cr耐磨材料，并进行热硫化处理。转子材质要求为38CrMoAl合金钢，具有耐磨耐用性能。加工工艺要求采用非线性螺旋机械加工。</w:t>
      </w:r>
    </w:p>
    <w:p w14:paraId="4E031DBD">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（6）全部钢材进行预处理，去掉轧制氧化、锈及异物，焊接表面光滑平整，没有气孔、夹渣、焊瘤、裂纹等缺陷存在，以确保焊缝质量。主要焊缝进行探伤检查。</w:t>
      </w:r>
    </w:p>
    <w:p w14:paraId="7DEBFE4A">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（7）钢结构设计在强度、刚度、挠度、机械振动和机械性能方面均满足有关规范、标准的要求。</w:t>
      </w:r>
    </w:p>
    <w:p w14:paraId="6609E3C9">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（8）泵体各部件铸件时不得有气孔、砂眼、夹渣、裂纹等缺陷。要求铸件毛坯、轴料必须经过探伤检测后，通过高频电阻炉对产品毛坯、轴料进行热处理，再经过时效处理后进入加工处理。</w:t>
      </w:r>
    </w:p>
    <w:p w14:paraId="574CD0D5">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（9）总装前对泵体重要部件进行压力试验，整泵必须在1.8MPa的条件下耐压试验，保压不少于5分钟。保压时间内不得有渗漏、冒汗等缺陷。</w:t>
      </w:r>
    </w:p>
    <w:p w14:paraId="6E824B5B">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（10）各运转部位转动灵活、运行平稳、各密封处不得漏液。</w:t>
      </w:r>
    </w:p>
    <w:p w14:paraId="3430AFA2">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（11）设备制造中，结构件表面进行防锈处理。</w:t>
      </w:r>
    </w:p>
    <w:p w14:paraId="69F7B46C">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（12）泵的进出口要求带配对法兰,泵进出口法兰采用标准为HG20593-2009或HG20597－2009。进、出水法兰按现有配套尺寸加工。</w:t>
      </w:r>
    </w:p>
    <w:p w14:paraId="5FB11EDC">
      <w:pPr>
        <w:pStyle w:val="2"/>
        <w:spacing w:line="560" w:lineRule="exact"/>
        <w:ind w:firstLine="736" w:firstLineChars="230"/>
        <w:jc w:val="both"/>
        <w:rPr>
          <w:rFonts w:ascii="黑体" w:hAnsi="黑体" w:eastAsia="黑体" w:cs="仿宋_GB2312"/>
          <w:bCs/>
          <w:color w:val="FF0000"/>
          <w:sz w:val="32"/>
          <w:szCs w:val="32"/>
        </w:rPr>
      </w:pPr>
      <w:r>
        <w:rPr>
          <w:rFonts w:hint="eastAsia" w:ascii="黑体" w:hAnsi="黑体" w:eastAsia="黑体" w:cs="仿宋_GB2312"/>
          <w:bCs/>
          <w:color w:val="auto"/>
          <w:sz w:val="32"/>
          <w:szCs w:val="32"/>
        </w:rPr>
        <w:t>五、交货随行文件要求：</w:t>
      </w:r>
    </w:p>
    <w:p w14:paraId="633B1188">
      <w:pPr>
        <w:pStyle w:val="2"/>
        <w:spacing w:line="560" w:lineRule="exact"/>
        <w:ind w:firstLine="717" w:firstLineChars="230"/>
        <w:jc w:val="both"/>
        <w:rPr>
          <w:rFonts w:hint="eastAsia" w:ascii="仿宋_GB2312" w:hAnsi="仿宋_GB2312" w:eastAsia="仿宋_GB2312" w:cs="仿宋_GB2312"/>
          <w:spacing w:val="-4"/>
          <w:sz w:val="32"/>
          <w:szCs w:val="32"/>
          <w:lang w:eastAsia="zh-CN"/>
        </w:rPr>
      </w:pPr>
      <w:r>
        <w:rPr>
          <w:rFonts w:hint="eastAsia" w:ascii="仿宋_GB2312" w:hAnsi="仿宋_GB2312" w:eastAsia="仿宋_GB2312" w:cs="仿宋_GB2312"/>
          <w:spacing w:val="-4"/>
          <w:sz w:val="32"/>
          <w:szCs w:val="32"/>
        </w:rPr>
        <w:t>1.成交供应商按规定给采购人提供详细的、正确的维护、维修技术资料，包括印刷版和电子版的各种图纸、设备使用手册、维修手册、备件手册</w:t>
      </w:r>
      <w:r>
        <w:rPr>
          <w:rFonts w:hint="eastAsia" w:ascii="仿宋_GB2312" w:hAnsi="仿宋_GB2312" w:eastAsia="仿宋_GB2312" w:cs="仿宋_GB2312"/>
          <w:spacing w:val="-4"/>
          <w:sz w:val="32"/>
          <w:szCs w:val="32"/>
          <w:lang w:eastAsia="zh-CN"/>
        </w:rPr>
        <w:t>。</w:t>
      </w:r>
    </w:p>
    <w:p w14:paraId="3F064280">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2.成交供应商按规定给采购人每台（套）设备提供</w:t>
      </w:r>
      <w:r>
        <w:rPr>
          <w:rFonts w:hint="eastAsia" w:ascii="仿宋_GB2312" w:hAnsi="仿宋_GB2312" w:eastAsia="仿宋_GB2312" w:cs="仿宋_GB2312"/>
          <w:spacing w:val="-4"/>
          <w:sz w:val="32"/>
          <w:szCs w:val="32"/>
          <w:u w:val="single"/>
          <w:lang w:val="en-US" w:eastAsia="zh-CN"/>
        </w:rPr>
        <w:t>2</w:t>
      </w:r>
      <w:r>
        <w:rPr>
          <w:rFonts w:hint="eastAsia" w:ascii="仿宋_GB2312" w:hAnsi="仿宋_GB2312" w:eastAsia="仿宋_GB2312" w:cs="仿宋_GB2312"/>
          <w:spacing w:val="-4"/>
          <w:sz w:val="32"/>
          <w:szCs w:val="32"/>
        </w:rPr>
        <w:t>份技术文件和图纸的副本。采购人有权针对培训目的而额外复制所提供的技术文件与图纸。</w:t>
      </w:r>
    </w:p>
    <w:p w14:paraId="64D61122">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3.如果成交供应商交付的技术文件和图纸不完整、丢失或损坏，成交供应商在接到采购人索要不完整、丢失或损坏部分的技术文件和图纸的通知后的30天内,应免费向采购人增补丢失或损坏部分的技术文件与图纸。</w:t>
      </w:r>
    </w:p>
    <w:p w14:paraId="165115EC">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4.成交供应商有义务对该设备的控制软件、管理软件进行免费升级换代。</w:t>
      </w:r>
    </w:p>
    <w:p w14:paraId="29624DC4">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5.成交供应商定期对设备进行回访，并对用户提出的问题进行解决。</w:t>
      </w:r>
    </w:p>
    <w:p w14:paraId="65FF4637">
      <w:pPr>
        <w:pStyle w:val="2"/>
        <w:spacing w:line="560" w:lineRule="exact"/>
        <w:ind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六、质量保证要求：</w:t>
      </w:r>
    </w:p>
    <w:p w14:paraId="7B87922E">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1.提供全套设备保证是全新的、成熟的、完整和安全可靠的设备。</w:t>
      </w:r>
    </w:p>
    <w:p w14:paraId="0C5BA62B">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2.质保期为自设备验收合格并投入使用之日起12个月或自设备验收合格之日起18个月，二者以先届满期限为准</w:t>
      </w: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rPr>
        <w:t>对由于设计或质量问题而引起的设备故障，成交供应商应进一步对此负责。合同条款对质保有特殊规定的从其规定。</w:t>
      </w:r>
    </w:p>
    <w:p w14:paraId="127B4B35">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3.设备质保期内对于出现的相关质量问题负责处理，成交供应商维修人员应在24小时内到达需方现场，尽快排除故障，使设备恢复正常使用</w:t>
      </w: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lang w:val="en-US" w:eastAsia="zh-CN"/>
        </w:rPr>
        <w:t>产生的费用由成交供应商负责</w:t>
      </w:r>
      <w:r>
        <w:rPr>
          <w:rFonts w:hint="eastAsia" w:ascii="仿宋_GB2312" w:hAnsi="仿宋_GB2312" w:eastAsia="仿宋_GB2312" w:cs="仿宋_GB2312"/>
          <w:spacing w:val="-4"/>
          <w:sz w:val="32"/>
          <w:szCs w:val="32"/>
        </w:rPr>
        <w:t>。</w:t>
      </w:r>
    </w:p>
    <w:p w14:paraId="2A53DABE">
      <w:pPr>
        <w:pStyle w:val="2"/>
        <w:spacing w:line="560" w:lineRule="exact"/>
        <w:ind w:firstLine="736" w:firstLineChars="230"/>
        <w:jc w:val="both"/>
        <w:rPr>
          <w:rFonts w:hint="eastAsia" w:ascii="黑体" w:hAnsi="黑体" w:eastAsia="黑体" w:cs="仿宋_GB2312"/>
          <w:bCs/>
          <w:color w:val="auto"/>
          <w:sz w:val="32"/>
          <w:szCs w:val="32"/>
          <w:lang w:val="en-US" w:eastAsia="zh-CN"/>
        </w:rPr>
      </w:pPr>
      <w:r>
        <w:rPr>
          <w:rFonts w:hint="eastAsia" w:ascii="黑体" w:hAnsi="黑体" w:eastAsia="黑体" w:cs="仿宋_GB2312"/>
          <w:bCs/>
          <w:color w:val="auto"/>
          <w:sz w:val="32"/>
          <w:szCs w:val="32"/>
          <w:lang w:val="en-US" w:eastAsia="zh-CN"/>
        </w:rPr>
        <w:t>七、技术服务</w:t>
      </w:r>
    </w:p>
    <w:p w14:paraId="16EE761C">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1.成交供应商应派出有技术、有能力胜任的服务工程师到现场，提供有关安装、调试、空载测试、性能测试、试运转、维修及现场培训维修人员的服务。成交供应商服务工程师的主要责任与任务如下：</w:t>
      </w:r>
    </w:p>
    <w:p w14:paraId="777B11B5">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——给采购人安装人员提供完整的技术指导；</w:t>
      </w:r>
    </w:p>
    <w:p w14:paraId="39D25901">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——指导采购人进行合同设备的试运转，运行测试和性能测试；</w:t>
      </w:r>
    </w:p>
    <w:p w14:paraId="52BC54A7">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——现场培训采购人人员；</w:t>
      </w:r>
    </w:p>
    <w:p w14:paraId="3690088C">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——设备投入使用后提供现场运行技术支持；</w:t>
      </w:r>
    </w:p>
    <w:p w14:paraId="3C95AADC">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——质保期内技术服务。</w:t>
      </w:r>
    </w:p>
    <w:p w14:paraId="167DB06F">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2.安装前，应由成交供应商给予采购人提供合同设备的装配介绍、培训；详细解释技术文件、图纸和操作手册以及设备运行和相关的预防措施等；回答和解决采购人提出的技术问题。成交供应商的指导必须是正确的，如果出现由于非正确技术指导而造成的损失，成交供应商将自出资金维修、更换或补偿损失部分。</w:t>
      </w:r>
    </w:p>
    <w:p w14:paraId="17C666F3">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3.成交供应商应提供所有的关于装配与组装所用的专用工具。</w:t>
      </w:r>
    </w:p>
    <w:p w14:paraId="05EF7A7B">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4.对于安装指导、测试运转、性能测试、试运转和验收，包括采购人操作和维修人员的现场培训,成交供应商需免费提供。</w:t>
      </w:r>
    </w:p>
    <w:p w14:paraId="331455E0">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5.成交供应商应提供用于采购人自行培训人员需要使用的相关培训资料。</w:t>
      </w:r>
    </w:p>
    <w:p w14:paraId="26F730B1">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default" w:ascii="仿宋_GB2312" w:hAnsi="仿宋_GB2312" w:eastAsia="仿宋_GB2312" w:cs="仿宋_GB2312"/>
          <w:spacing w:val="-4"/>
          <w:sz w:val="32"/>
          <w:szCs w:val="32"/>
          <w:lang w:val="en-US" w:eastAsia="zh-CN"/>
        </w:rPr>
        <w:t>6.设备过质保期后，在设备使用寿命内，如采购人需要，成交供应商应能够及时到现场进行技术服务。</w:t>
      </w:r>
    </w:p>
    <w:p w14:paraId="7D8426BF">
      <w:pPr>
        <w:pStyle w:val="2"/>
        <w:spacing w:line="560" w:lineRule="exact"/>
        <w:ind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lang w:val="en-US" w:eastAsia="zh-CN"/>
        </w:rPr>
        <w:t>八</w:t>
      </w:r>
      <w:r>
        <w:rPr>
          <w:rFonts w:hint="eastAsia" w:ascii="黑体" w:hAnsi="黑体" w:eastAsia="黑体" w:cs="仿宋_GB2312"/>
          <w:bCs/>
          <w:color w:val="auto"/>
          <w:sz w:val="32"/>
          <w:szCs w:val="32"/>
        </w:rPr>
        <w:t>、包装</w:t>
      </w:r>
      <w:r>
        <w:rPr>
          <w:rFonts w:hint="eastAsia" w:ascii="黑体" w:hAnsi="黑体" w:eastAsia="黑体" w:cs="仿宋_GB2312"/>
          <w:bCs/>
          <w:color w:val="auto"/>
          <w:sz w:val="32"/>
          <w:szCs w:val="32"/>
          <w:lang w:val="en-US" w:eastAsia="zh-CN"/>
        </w:rPr>
        <w:t>要求</w:t>
      </w:r>
    </w:p>
    <w:p w14:paraId="64A3CD5D">
      <w:pPr>
        <w:pStyle w:val="2"/>
        <w:spacing w:line="560" w:lineRule="exact"/>
        <w:ind w:firstLine="624" w:firstLineChars="20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lang w:val="en-US" w:eastAsia="zh-CN"/>
        </w:rPr>
        <w:t>一</w:t>
      </w:r>
      <w:r>
        <w:rPr>
          <w:rFonts w:hint="eastAsia" w:ascii="仿宋_GB2312" w:hAnsi="仿宋_GB2312" w:eastAsia="仿宋_GB2312" w:cs="仿宋_GB2312"/>
          <w:spacing w:val="-4"/>
          <w:sz w:val="32"/>
          <w:szCs w:val="32"/>
          <w:lang w:eastAsia="zh-CN"/>
        </w:rPr>
        <w:t>）</w:t>
      </w:r>
      <w:r>
        <w:rPr>
          <w:rFonts w:hint="eastAsia" w:ascii="仿宋_GB2312" w:hAnsi="仿宋_GB2312" w:eastAsia="仿宋_GB2312" w:cs="仿宋_GB2312"/>
          <w:spacing w:val="-4"/>
          <w:sz w:val="32"/>
          <w:szCs w:val="32"/>
        </w:rPr>
        <w:t>包装总体要求</w:t>
      </w:r>
    </w:p>
    <w:p w14:paraId="0BD1B7D9">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lang w:val="en-US" w:eastAsia="zh-CN"/>
        </w:rPr>
        <w:t>1.</w:t>
      </w:r>
      <w:r>
        <w:rPr>
          <w:rFonts w:hint="eastAsia" w:ascii="仿宋_GB2312" w:hAnsi="仿宋_GB2312" w:eastAsia="仿宋_GB2312" w:cs="仿宋_GB2312"/>
          <w:spacing w:val="-4"/>
          <w:sz w:val="32"/>
          <w:szCs w:val="32"/>
        </w:rPr>
        <w:t>所有产品须采用防潮、防尘、防震、防锈、防压包装，确保正常储运、装卸过程不损坏、不变形、不锈蚀、不进水。</w:t>
      </w:r>
    </w:p>
    <w:p w14:paraId="0674474C">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lang w:val="en-US" w:eastAsia="zh-CN"/>
        </w:rPr>
        <w:t>2.</w:t>
      </w:r>
      <w:r>
        <w:rPr>
          <w:rFonts w:hint="eastAsia" w:ascii="仿宋_GB2312" w:hAnsi="仿宋_GB2312" w:eastAsia="仿宋_GB2312" w:cs="仿宋_GB2312"/>
          <w:spacing w:val="-4"/>
          <w:sz w:val="32"/>
          <w:szCs w:val="32"/>
        </w:rPr>
        <w:t>包装材质环保、无异味、无污染，符合国家及行业环保包装标准。</w:t>
      </w:r>
    </w:p>
    <w:p w14:paraId="4162A939">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lang w:val="en-US" w:eastAsia="zh-CN"/>
        </w:rPr>
        <w:t>3.</w:t>
      </w:r>
      <w:r>
        <w:rPr>
          <w:rFonts w:hint="eastAsia" w:ascii="仿宋_GB2312" w:hAnsi="仿宋_GB2312" w:eastAsia="仿宋_GB2312" w:cs="仿宋_GB2312"/>
          <w:spacing w:val="-4"/>
          <w:sz w:val="32"/>
          <w:szCs w:val="32"/>
        </w:rPr>
        <w:t>包装结构牢固，适合常规运输及多层堆码。</w:t>
      </w:r>
    </w:p>
    <w:p w14:paraId="4510DF09">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lang w:val="en-US" w:eastAsia="zh-CN"/>
        </w:rPr>
        <w:t>4.</w:t>
      </w:r>
      <w:r>
        <w:rPr>
          <w:rFonts w:hint="eastAsia" w:ascii="仿宋_GB2312" w:hAnsi="仿宋_GB2312" w:eastAsia="仿宋_GB2312" w:cs="仿宋_GB2312"/>
          <w:spacing w:val="-4"/>
          <w:sz w:val="32"/>
          <w:szCs w:val="32"/>
        </w:rPr>
        <w:t>每件包装规格统一、装箱整齐、固定可靠，内部不得松动、窜动。</w:t>
      </w:r>
    </w:p>
    <w:p w14:paraId="5C81342E">
      <w:pPr>
        <w:pStyle w:val="2"/>
        <w:spacing w:line="560" w:lineRule="exact"/>
        <w:ind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九、交货时间及交货地点：</w:t>
      </w:r>
    </w:p>
    <w:p w14:paraId="0E9F7EAC">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交货期：合同签订</w:t>
      </w:r>
      <w:r>
        <w:rPr>
          <w:rFonts w:hint="eastAsia" w:ascii="仿宋_GB2312" w:hAnsi="仿宋_GB2312" w:eastAsia="仿宋_GB2312" w:cs="仿宋_GB2312"/>
          <w:spacing w:val="-4"/>
          <w:sz w:val="32"/>
          <w:szCs w:val="32"/>
          <w:lang w:val="en-US" w:eastAsia="zh-CN"/>
        </w:rPr>
        <w:t>生效</w:t>
      </w:r>
      <w:r>
        <w:rPr>
          <w:rFonts w:hint="eastAsia" w:ascii="仿宋_GB2312" w:hAnsi="仿宋_GB2312" w:eastAsia="仿宋_GB2312" w:cs="仿宋_GB2312"/>
          <w:spacing w:val="-4"/>
          <w:sz w:val="32"/>
          <w:szCs w:val="32"/>
        </w:rPr>
        <w:t>后</w:t>
      </w:r>
      <w:r>
        <w:rPr>
          <w:rFonts w:hint="eastAsia" w:ascii="仿宋_GB2312" w:hAnsi="仿宋_GB2312" w:eastAsia="仿宋_GB2312" w:cs="仿宋_GB2312"/>
          <w:spacing w:val="-4"/>
          <w:sz w:val="32"/>
          <w:szCs w:val="32"/>
          <w:u w:val="single"/>
          <w:lang w:val="en-US" w:eastAsia="zh-CN"/>
        </w:rPr>
        <w:t xml:space="preserve">  30  </w:t>
      </w:r>
      <w:r>
        <w:rPr>
          <w:rFonts w:hint="eastAsia" w:ascii="仿宋_GB2312" w:hAnsi="仿宋_GB2312" w:eastAsia="仿宋_GB2312" w:cs="仿宋_GB2312"/>
          <w:spacing w:val="-4"/>
          <w:sz w:val="32"/>
          <w:szCs w:val="32"/>
        </w:rPr>
        <w:t>天内到货。</w:t>
      </w:r>
    </w:p>
    <w:p w14:paraId="522AFA97">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交货地点：</w:t>
      </w:r>
      <w:r>
        <w:rPr>
          <w:rFonts w:hint="eastAsia" w:ascii="仿宋_GB2312" w:hAnsi="仿宋_GB2312" w:eastAsia="仿宋_GB2312" w:cs="仿宋_GB2312"/>
          <w:spacing w:val="-4"/>
          <w:sz w:val="32"/>
          <w:szCs w:val="32"/>
          <w:lang w:val="en-US" w:eastAsia="zh-CN"/>
        </w:rPr>
        <w:t>免运费送至</w:t>
      </w:r>
      <w:r>
        <w:rPr>
          <w:rFonts w:hint="eastAsia" w:ascii="仿宋_GB2312" w:hAnsi="仿宋_GB2312" w:eastAsia="仿宋_GB2312" w:cs="仿宋_GB2312"/>
          <w:spacing w:val="-4"/>
          <w:sz w:val="32"/>
          <w:szCs w:val="32"/>
          <w:u w:val="single"/>
          <w:lang w:val="en-US" w:eastAsia="zh-CN"/>
        </w:rPr>
        <w:t xml:space="preserve">  安徽省宿州市祁南煤矿 </w:t>
      </w:r>
      <w:r>
        <w:rPr>
          <w:rFonts w:hint="eastAsia" w:ascii="仿宋_GB2312" w:hAnsi="仿宋_GB2312" w:eastAsia="仿宋_GB2312" w:cs="仿宋_GB2312"/>
          <w:spacing w:val="-4"/>
          <w:sz w:val="32"/>
          <w:szCs w:val="32"/>
        </w:rPr>
        <w:t>。</w:t>
      </w:r>
    </w:p>
    <w:p w14:paraId="4E1F57E2">
      <w:pPr>
        <w:pStyle w:val="2"/>
        <w:spacing w:line="560" w:lineRule="exact"/>
        <w:ind w:firstLine="736" w:firstLineChars="230"/>
        <w:jc w:val="both"/>
        <w:rPr>
          <w:rFonts w:hint="eastAsia" w:ascii="黑体" w:hAnsi="黑体" w:eastAsia="黑体" w:cs="仿宋_GB2312"/>
          <w:bCs/>
          <w:color w:val="auto"/>
          <w:sz w:val="32"/>
          <w:szCs w:val="32"/>
        </w:rPr>
      </w:pPr>
      <w:r>
        <w:rPr>
          <w:rFonts w:hint="eastAsia" w:ascii="黑体" w:hAnsi="黑体" w:eastAsia="黑体" w:cs="仿宋_GB2312"/>
          <w:bCs/>
          <w:color w:val="auto"/>
          <w:sz w:val="32"/>
          <w:szCs w:val="32"/>
        </w:rPr>
        <w:t>十、设备出厂前检验</w:t>
      </w:r>
    </w:p>
    <w:p w14:paraId="67663A9F">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1.为了对合同设备及其相关设备生产期间的质量检验，采购人有权派人到成交供应商所在工厂进行检验。为便于采购人质检要求，诸如必要的安全用具、办公用品、技术文件和图纸、核算数据、制造和检验标准及其它必备的检验数据应由成交供应商免费提供。</w:t>
      </w:r>
    </w:p>
    <w:p w14:paraId="74747A73">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2.在制造期间采购人的一切监理和质检活动所形成的书面资料均不作为成交供应商产品质量证明文件。在交货前采购人的质检，既不能免去合同中属于供货商质量担保期范围内的责任，也不能替代设备抵运采购人现场的质量检验。</w:t>
      </w:r>
    </w:p>
    <w:p w14:paraId="25CD9AB4">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3.采购人有权在设备制造和装货前后任何时间进行监督检查和测试。设备在出厂前必须进行试运转，根据试运转时间通知采购人进行现场检验。当采购人不参加设备项检验时，不能解除成交供应商对于产品质量的责任。</w:t>
      </w:r>
    </w:p>
    <w:p w14:paraId="4874766A">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4.在设备到达采购人现场后组装试运转中如出现问题，原因是成交供应商没有在出厂前进行设备整体联合试运转，因此推迟的时间将按照推迟交货期来计算。</w:t>
      </w:r>
    </w:p>
    <w:p w14:paraId="25EAECEB">
      <w:pPr>
        <w:pStyle w:val="2"/>
        <w:spacing w:line="560" w:lineRule="exact"/>
        <w:ind w:firstLine="717" w:firstLineChars="230"/>
        <w:jc w:val="both"/>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5.提供国家及相关行业技术标准要求提供出厂的试验报告。</w:t>
      </w:r>
    </w:p>
    <w:p w14:paraId="38292D6B">
      <w:pPr>
        <w:pStyle w:val="2"/>
        <w:spacing w:line="560" w:lineRule="exact"/>
        <w:ind w:firstLine="736" w:firstLineChars="230"/>
        <w:jc w:val="both"/>
        <w:rPr>
          <w:rFonts w:hint="eastAsia" w:ascii="黑体" w:hAnsi="黑体" w:eastAsia="黑体" w:cs="仿宋_GB2312"/>
          <w:bCs/>
          <w:color w:val="auto"/>
          <w:sz w:val="32"/>
          <w:szCs w:val="32"/>
          <w:lang w:val="en-US" w:eastAsia="zh-CN"/>
        </w:rPr>
      </w:pPr>
      <w:r>
        <w:rPr>
          <w:rFonts w:hint="eastAsia" w:ascii="黑体" w:hAnsi="黑体" w:eastAsia="黑体" w:cs="仿宋_GB2312"/>
          <w:bCs/>
          <w:color w:val="auto"/>
          <w:sz w:val="32"/>
          <w:szCs w:val="32"/>
          <w:lang w:val="en-US" w:eastAsia="zh-CN"/>
        </w:rPr>
        <w:t>十一、验收</w:t>
      </w:r>
    </w:p>
    <w:p w14:paraId="06F0E953">
      <w:pPr>
        <w:pStyle w:val="2"/>
        <w:spacing w:line="560" w:lineRule="exact"/>
        <w:ind w:firstLine="717" w:firstLineChars="230"/>
        <w:jc w:val="both"/>
        <w:rPr>
          <w:rFonts w:hint="default" w:ascii="仿宋_GB2312" w:hAnsi="仿宋_GB2312" w:eastAsia="仿宋_GB2312" w:cs="仿宋_GB2312"/>
          <w:color w:val="FF0000"/>
          <w:spacing w:val="-4"/>
          <w:sz w:val="32"/>
          <w:szCs w:val="32"/>
          <w:lang w:val="en-US" w:eastAsia="zh-CN"/>
        </w:rPr>
      </w:pPr>
      <w:r>
        <w:rPr>
          <w:rFonts w:hint="default" w:ascii="仿宋_GB2312" w:hAnsi="仿宋_GB2312" w:eastAsia="仿宋_GB2312" w:cs="仿宋_GB2312"/>
          <w:spacing w:val="-4"/>
          <w:sz w:val="32"/>
          <w:szCs w:val="32"/>
          <w:lang w:val="en-US" w:eastAsia="zh-CN"/>
        </w:rPr>
        <w:t>1.设备到货应随机提供出厂检验报告(合格证)等相关资证</w:t>
      </w:r>
      <w:r>
        <w:rPr>
          <w:rFonts w:hint="eastAsia" w:ascii="仿宋_GB2312" w:hAnsi="仿宋_GB2312" w:eastAsia="仿宋_GB2312" w:cs="仿宋_GB2312"/>
          <w:spacing w:val="-4"/>
          <w:sz w:val="32"/>
          <w:szCs w:val="32"/>
          <w:lang w:val="en-US" w:eastAsia="zh-CN"/>
        </w:rPr>
        <w:t>。</w:t>
      </w:r>
    </w:p>
    <w:p w14:paraId="522D8933">
      <w:pPr>
        <w:pStyle w:val="2"/>
        <w:spacing w:line="560" w:lineRule="exact"/>
        <w:ind w:firstLine="717" w:firstLineChars="230"/>
        <w:jc w:val="both"/>
        <w:rPr>
          <w:rFonts w:hint="eastAsia"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2.供应商提供所有产品合格证、“MA”证书、防爆证、出厂测试报告、总图、结构示意图、易损件目录等。</w:t>
      </w:r>
    </w:p>
    <w:p w14:paraId="753A460D">
      <w:pPr>
        <w:pStyle w:val="2"/>
        <w:spacing w:line="560" w:lineRule="exact"/>
        <w:ind w:firstLine="717" w:firstLineChars="230"/>
        <w:jc w:val="both"/>
        <w:rPr>
          <w:rFonts w:hint="default" w:ascii="仿宋_GB2312" w:hAnsi="仿宋_GB2312" w:eastAsia="仿宋_GB2312" w:cs="仿宋_GB2312"/>
          <w:color w:val="auto"/>
          <w:spacing w:val="-4"/>
          <w:sz w:val="32"/>
          <w:szCs w:val="32"/>
          <w:lang w:val="en-US" w:eastAsia="zh-CN"/>
        </w:rPr>
      </w:pPr>
      <w:r>
        <w:rPr>
          <w:rFonts w:hint="eastAsia" w:ascii="仿宋_GB2312" w:hAnsi="仿宋_GB2312" w:eastAsia="仿宋_GB2312" w:cs="仿宋_GB2312"/>
          <w:color w:val="auto"/>
          <w:spacing w:val="-4"/>
          <w:sz w:val="32"/>
          <w:szCs w:val="32"/>
          <w:lang w:val="en-US" w:eastAsia="zh-CN"/>
        </w:rPr>
        <w:t>3.供应商提供所有设备的使用说明书、图纸。</w:t>
      </w:r>
    </w:p>
    <w:p w14:paraId="28B3A832">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4</w:t>
      </w:r>
      <w:r>
        <w:rPr>
          <w:rFonts w:hint="default" w:ascii="仿宋_GB2312" w:hAnsi="仿宋_GB2312" w:eastAsia="仿宋_GB2312" w:cs="仿宋_GB2312"/>
          <w:spacing w:val="-4"/>
          <w:sz w:val="32"/>
          <w:szCs w:val="32"/>
          <w:lang w:val="en-US" w:eastAsia="zh-CN"/>
        </w:rPr>
        <w:t>.验收方式：</w:t>
      </w:r>
    </w:p>
    <w:p w14:paraId="424B9255">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4</w:t>
      </w:r>
      <w:r>
        <w:rPr>
          <w:rFonts w:hint="default" w:ascii="仿宋_GB2312" w:hAnsi="仿宋_GB2312" w:eastAsia="仿宋_GB2312" w:cs="仿宋_GB2312"/>
          <w:spacing w:val="-4"/>
          <w:sz w:val="32"/>
          <w:szCs w:val="32"/>
          <w:lang w:val="en-US" w:eastAsia="zh-CN"/>
        </w:rPr>
        <w:t>.1到货验收：该设备送至采购人要求的地点，资证、数量、配置等符合采购合同、技术协议、采购文件等要求后办理验收。</w:t>
      </w:r>
    </w:p>
    <w:p w14:paraId="2242DF5B">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4</w:t>
      </w:r>
      <w:r>
        <w:rPr>
          <w:rFonts w:hint="default" w:ascii="仿宋_GB2312" w:hAnsi="仿宋_GB2312" w:eastAsia="仿宋_GB2312" w:cs="仿宋_GB2312"/>
          <w:spacing w:val="-4"/>
          <w:sz w:val="32"/>
          <w:szCs w:val="32"/>
          <w:lang w:val="en-US" w:eastAsia="zh-CN"/>
        </w:rPr>
        <w:t>.2到厂验收：成交供应商在设备在出厂前通知采购人，现场检验设备试运转情况，双方对设备配置、性能等进行鉴定，符合采购合同、技术协议、采购文件等要求后方可发货。货到后履行到货验收程序。</w:t>
      </w:r>
    </w:p>
    <w:p w14:paraId="5A44E31C">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4</w:t>
      </w:r>
      <w:r>
        <w:rPr>
          <w:rFonts w:hint="default" w:ascii="仿宋_GB2312" w:hAnsi="仿宋_GB2312" w:eastAsia="仿宋_GB2312" w:cs="仿宋_GB2312"/>
          <w:spacing w:val="-4"/>
          <w:sz w:val="32"/>
          <w:szCs w:val="32"/>
          <w:lang w:val="en-US" w:eastAsia="zh-CN"/>
        </w:rPr>
        <w:t>.3测试后验收：设备完成到货验收后，成交供应商与业主单位相关人员在空载条件下测试该设备，无异常情况办理验收。</w:t>
      </w:r>
    </w:p>
    <w:p w14:paraId="6862CD42">
      <w:pPr>
        <w:pStyle w:val="2"/>
        <w:spacing w:line="560" w:lineRule="exact"/>
        <w:ind w:firstLine="717" w:firstLineChars="230"/>
        <w:jc w:val="both"/>
        <w:rPr>
          <w:rFonts w:hint="default"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4</w:t>
      </w:r>
      <w:r>
        <w:rPr>
          <w:rFonts w:hint="default" w:ascii="仿宋_GB2312" w:hAnsi="仿宋_GB2312" w:eastAsia="仿宋_GB2312" w:cs="仿宋_GB2312"/>
          <w:spacing w:val="-4"/>
          <w:sz w:val="32"/>
          <w:szCs w:val="32"/>
          <w:lang w:val="en-US" w:eastAsia="zh-CN"/>
        </w:rPr>
        <w:t>.4运转后验收：设备完成到货验收后，成交供应商与业主单位相关人员在使用现场调试该设备，所有技术性能指标符合采购合同、技术协议、采购文件等要求并正常运转后办理验收。</w:t>
      </w:r>
    </w:p>
    <w:p w14:paraId="74FCABAE">
      <w:pPr>
        <w:pStyle w:val="2"/>
        <w:spacing w:line="560" w:lineRule="exact"/>
        <w:ind w:firstLine="717" w:firstLineChars="230"/>
        <w:jc w:val="both"/>
        <w:rPr>
          <w:rFonts w:hint="eastAsia" w:ascii="仿宋_GB2312" w:hAnsi="仿宋_GB2312" w:eastAsia="仿宋_GB2312" w:cs="仿宋_GB2312"/>
          <w:spacing w:val="-4"/>
          <w:sz w:val="32"/>
          <w:szCs w:val="32"/>
          <w:lang w:val="en-US" w:eastAsia="zh-CN"/>
        </w:rPr>
      </w:pPr>
      <w:r>
        <w:rPr>
          <w:rFonts w:hint="eastAsia" w:ascii="仿宋_GB2312" w:hAnsi="仿宋_GB2312" w:eastAsia="仿宋_GB2312" w:cs="仿宋_GB2312"/>
          <w:spacing w:val="-4"/>
          <w:sz w:val="32"/>
          <w:szCs w:val="32"/>
          <w:lang w:val="en-US" w:eastAsia="zh-CN"/>
        </w:rPr>
        <w:t>5</w:t>
      </w:r>
      <w:r>
        <w:rPr>
          <w:rFonts w:hint="default" w:ascii="仿宋_GB2312" w:hAnsi="仿宋_GB2312" w:eastAsia="仿宋_GB2312" w:cs="仿宋_GB2312"/>
          <w:spacing w:val="-4"/>
          <w:sz w:val="32"/>
          <w:szCs w:val="32"/>
          <w:lang w:val="en-US" w:eastAsia="zh-CN"/>
        </w:rPr>
        <w:t>.本项目采用</w:t>
      </w:r>
      <w:r>
        <w:rPr>
          <w:rFonts w:hint="eastAsia" w:ascii="仿宋_GB2312" w:hAnsi="仿宋_GB2312" w:eastAsia="仿宋_GB2312" w:cs="仿宋_GB2312"/>
          <w:spacing w:val="-4"/>
          <w:sz w:val="32"/>
          <w:szCs w:val="32"/>
          <w:u w:val="single"/>
          <w:lang w:val="en-US" w:eastAsia="zh-CN"/>
        </w:rPr>
        <w:t xml:space="preserve">  货到开箱现场验收   </w:t>
      </w:r>
      <w:r>
        <w:rPr>
          <w:rFonts w:hint="default" w:ascii="仿宋_GB2312" w:hAnsi="仿宋_GB2312" w:eastAsia="仿宋_GB2312" w:cs="仿宋_GB2312"/>
          <w:spacing w:val="-4"/>
          <w:sz w:val="32"/>
          <w:szCs w:val="32"/>
          <w:lang w:val="en-US" w:eastAsia="zh-CN"/>
        </w:rPr>
        <w:t>方式验收。</w:t>
      </w:r>
    </w:p>
    <w:p w14:paraId="1E81768B">
      <w:pPr>
        <w:pStyle w:val="2"/>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幼圆">
    <w:panose1 w:val="0201050906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9E99C"/>
    <w:multiLevelType w:val="singleLevel"/>
    <w:tmpl w:val="8389E99C"/>
    <w:lvl w:ilvl="0" w:tentative="0">
      <w:start w:val="2"/>
      <w:numFmt w:val="chineseCounting"/>
      <w:suff w:val="nothing"/>
      <w:lvlText w:val="（%1）"/>
      <w:lvlJc w:val="left"/>
      <w:rPr>
        <w:rFonts w:hint="eastAsia"/>
      </w:rPr>
    </w:lvl>
  </w:abstractNum>
  <w:abstractNum w:abstractNumId="1">
    <w:nsid w:val="00000007"/>
    <w:multiLevelType w:val="multilevel"/>
    <w:tmpl w:val="00000007"/>
    <w:lvl w:ilvl="0" w:tentative="0">
      <w:start w:val="2"/>
      <w:numFmt w:val="decimal"/>
      <w:lvlText w:val="%1"/>
      <w:lvlJc w:val="left"/>
      <w:pPr>
        <w:tabs>
          <w:tab w:val="left" w:pos="360"/>
        </w:tabs>
        <w:ind w:left="360" w:hanging="360"/>
      </w:pPr>
      <w:rPr>
        <w:rFonts w:hint="eastAsia"/>
      </w:rPr>
    </w:lvl>
    <w:lvl w:ilvl="1" w:tentative="0">
      <w:start w:val="1"/>
      <w:numFmt w:val="decimal"/>
      <w:pStyle w:val="4"/>
      <w:isLgl/>
      <w:lvlText w:val="%1.%2"/>
      <w:lvlJc w:val="left"/>
      <w:pPr>
        <w:tabs>
          <w:tab w:val="left" w:pos="480"/>
        </w:tabs>
        <w:ind w:left="480" w:hanging="480"/>
      </w:pPr>
      <w:rPr>
        <w:rFonts w:hint="eastAsia"/>
      </w:rPr>
    </w:lvl>
    <w:lvl w:ilvl="2" w:tentative="0">
      <w:start w:val="1"/>
      <w:numFmt w:val="decimal"/>
      <w:isLgl/>
      <w:lvlText w:val="%1.%2.%3"/>
      <w:lvlJc w:val="left"/>
      <w:pPr>
        <w:tabs>
          <w:tab w:val="left" w:pos="480"/>
        </w:tabs>
        <w:ind w:left="480" w:hanging="480"/>
      </w:pPr>
      <w:rPr>
        <w:rFonts w:hint="eastAsia"/>
      </w:rPr>
    </w:lvl>
    <w:lvl w:ilvl="3" w:tentative="0">
      <w:start w:val="1"/>
      <w:numFmt w:val="decimal"/>
      <w:isLgl/>
      <w:lvlText w:val="%1.%2.%3.%4"/>
      <w:lvlJc w:val="left"/>
      <w:pPr>
        <w:tabs>
          <w:tab w:val="left" w:pos="480"/>
        </w:tabs>
        <w:ind w:left="480" w:hanging="480"/>
      </w:pPr>
      <w:rPr>
        <w:rFonts w:hint="eastAsia"/>
      </w:rPr>
    </w:lvl>
    <w:lvl w:ilvl="4" w:tentative="0">
      <w:start w:val="1"/>
      <w:numFmt w:val="decimal"/>
      <w:isLgl/>
      <w:lvlText w:val="%1.%2.%3.%4.%5"/>
      <w:lvlJc w:val="left"/>
      <w:pPr>
        <w:tabs>
          <w:tab w:val="left" w:pos="480"/>
        </w:tabs>
        <w:ind w:left="480" w:hanging="480"/>
      </w:pPr>
      <w:rPr>
        <w:rFonts w:hint="eastAsia"/>
      </w:rPr>
    </w:lvl>
    <w:lvl w:ilvl="5" w:tentative="0">
      <w:start w:val="1"/>
      <w:numFmt w:val="decimal"/>
      <w:isLgl/>
      <w:lvlText w:val="%1.%2.%3.%4.%5.%6"/>
      <w:lvlJc w:val="left"/>
      <w:pPr>
        <w:tabs>
          <w:tab w:val="left" w:pos="480"/>
        </w:tabs>
        <w:ind w:left="480" w:hanging="480"/>
      </w:pPr>
      <w:rPr>
        <w:rFonts w:hint="eastAsia"/>
      </w:rPr>
    </w:lvl>
    <w:lvl w:ilvl="6" w:tentative="0">
      <w:start w:val="1"/>
      <w:numFmt w:val="decimal"/>
      <w:isLgl/>
      <w:lvlText w:val="%1.%2.%3.%4.%5.%6.%7"/>
      <w:lvlJc w:val="left"/>
      <w:pPr>
        <w:tabs>
          <w:tab w:val="left" w:pos="480"/>
        </w:tabs>
        <w:ind w:left="480" w:hanging="480"/>
      </w:pPr>
      <w:rPr>
        <w:rFonts w:hint="eastAsia"/>
      </w:rPr>
    </w:lvl>
    <w:lvl w:ilvl="7" w:tentative="0">
      <w:start w:val="1"/>
      <w:numFmt w:val="decimal"/>
      <w:isLgl/>
      <w:lvlText w:val="%1.%2.%3.%4.%5.%6.%7.%8"/>
      <w:lvlJc w:val="left"/>
      <w:pPr>
        <w:tabs>
          <w:tab w:val="left" w:pos="480"/>
        </w:tabs>
        <w:ind w:left="480" w:hanging="480"/>
      </w:pPr>
      <w:rPr>
        <w:rFonts w:hint="eastAsia"/>
      </w:rPr>
    </w:lvl>
    <w:lvl w:ilvl="8" w:tentative="0">
      <w:start w:val="1"/>
      <w:numFmt w:val="decimal"/>
      <w:isLgl/>
      <w:lvlText w:val="%1.%2.%3.%4.%5.%6.%7.%8.%9"/>
      <w:lvlJc w:val="left"/>
      <w:pPr>
        <w:tabs>
          <w:tab w:val="left" w:pos="480"/>
        </w:tabs>
        <w:ind w:left="480" w:hanging="480"/>
      </w:pPr>
      <w:rPr>
        <w:rFonts w:hint="eastAsia"/>
      </w:rPr>
    </w:lvl>
  </w:abstractNum>
  <w:abstractNum w:abstractNumId="2">
    <w:nsid w:val="31329FD4"/>
    <w:multiLevelType w:val="singleLevel"/>
    <w:tmpl w:val="31329FD4"/>
    <w:lvl w:ilvl="0" w:tentative="0">
      <w:start w:val="3"/>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wMDc0Y2IzYmVmMGQzOTNiOTkwYjM5ZDNiZjVkYTkifQ=="/>
  </w:docVars>
  <w:rsids>
    <w:rsidRoot w:val="29F80918"/>
    <w:rsid w:val="00FB4547"/>
    <w:rsid w:val="03614FAD"/>
    <w:rsid w:val="06EE06AA"/>
    <w:rsid w:val="07041C7C"/>
    <w:rsid w:val="0A62669A"/>
    <w:rsid w:val="0ADA025B"/>
    <w:rsid w:val="0C166510"/>
    <w:rsid w:val="0C3923C8"/>
    <w:rsid w:val="11AC4DCB"/>
    <w:rsid w:val="13581385"/>
    <w:rsid w:val="15E311B1"/>
    <w:rsid w:val="17855E6C"/>
    <w:rsid w:val="189F5AC9"/>
    <w:rsid w:val="1FE30E5C"/>
    <w:rsid w:val="201A220D"/>
    <w:rsid w:val="211140F0"/>
    <w:rsid w:val="23502079"/>
    <w:rsid w:val="25726619"/>
    <w:rsid w:val="27642805"/>
    <w:rsid w:val="278E4F1E"/>
    <w:rsid w:val="29F714A0"/>
    <w:rsid w:val="29F80918"/>
    <w:rsid w:val="2A612DBE"/>
    <w:rsid w:val="2D75096C"/>
    <w:rsid w:val="2F6F2EE9"/>
    <w:rsid w:val="32140B41"/>
    <w:rsid w:val="35BC359E"/>
    <w:rsid w:val="3ACF78CF"/>
    <w:rsid w:val="3BE949C1"/>
    <w:rsid w:val="3D6B175E"/>
    <w:rsid w:val="43947908"/>
    <w:rsid w:val="494B4DB6"/>
    <w:rsid w:val="4BB00411"/>
    <w:rsid w:val="4C1A35B6"/>
    <w:rsid w:val="510D2AA8"/>
    <w:rsid w:val="5353519D"/>
    <w:rsid w:val="539A459F"/>
    <w:rsid w:val="55A7439F"/>
    <w:rsid w:val="58C12AF6"/>
    <w:rsid w:val="595014E1"/>
    <w:rsid w:val="59835FFD"/>
    <w:rsid w:val="5CF01DF0"/>
    <w:rsid w:val="604858AA"/>
    <w:rsid w:val="61282A3A"/>
    <w:rsid w:val="61483DB4"/>
    <w:rsid w:val="61E6537B"/>
    <w:rsid w:val="6B43739A"/>
    <w:rsid w:val="6DE941B9"/>
    <w:rsid w:val="76813BC4"/>
    <w:rsid w:val="7B39500D"/>
    <w:rsid w:val="7C3A3CAE"/>
    <w:rsid w:val="7CC145C3"/>
    <w:rsid w:val="7FF951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adjustRightInd w:val="0"/>
      <w:spacing w:line="420" w:lineRule="exact"/>
      <w:textAlignment w:val="baseline"/>
      <w:outlineLvl w:val="0"/>
    </w:pPr>
    <w:rPr>
      <w:rFonts w:ascii="宋体"/>
      <w:b/>
      <w:kern w:val="0"/>
      <w:sz w:val="24"/>
      <w:szCs w:val="20"/>
    </w:rPr>
  </w:style>
  <w:style w:type="paragraph" w:styleId="4">
    <w:name w:val="heading 2"/>
    <w:basedOn w:val="1"/>
    <w:next w:val="5"/>
    <w:link w:val="14"/>
    <w:qFormat/>
    <w:uiPriority w:val="0"/>
    <w:pPr>
      <w:keepNext/>
      <w:keepLines/>
      <w:numPr>
        <w:ilvl w:val="1"/>
        <w:numId w:val="1"/>
      </w:numPr>
      <w:spacing w:before="120" w:beforeLines="0" w:after="120" w:afterLines="0"/>
      <w:outlineLvl w:val="1"/>
    </w:pPr>
    <w:rPr>
      <w:rFonts w:ascii="Arial" w:hAnsi="Arial"/>
      <w:sz w:val="2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5">
    <w:name w:val="Normal Indent"/>
    <w:basedOn w:val="1"/>
    <w:qFormat/>
    <w:uiPriority w:val="0"/>
    <w:pPr>
      <w:adjustRightInd w:val="0"/>
      <w:spacing w:line="360" w:lineRule="atLeast"/>
      <w:ind w:firstLine="420"/>
      <w:jc w:val="left"/>
      <w:textAlignment w:val="baseline"/>
    </w:pPr>
    <w:rPr>
      <w:kern w:val="0"/>
      <w:sz w:val="24"/>
    </w:rPr>
  </w:style>
  <w:style w:type="paragraph" w:styleId="6">
    <w:name w:val="Body Text"/>
    <w:basedOn w:val="1"/>
    <w:qFormat/>
    <w:uiPriority w:val="1"/>
    <w:pPr>
      <w:spacing w:before="140"/>
      <w:ind w:left="760"/>
    </w:pPr>
    <w:rPr>
      <w:rFonts w:ascii="仿宋" w:hAnsi="仿宋" w:eastAsia="仿宋"/>
      <w:sz w:val="32"/>
      <w:szCs w:val="32"/>
    </w:rPr>
  </w:style>
  <w:style w:type="paragraph" w:styleId="7">
    <w:name w:val="Body Text Indent"/>
    <w:basedOn w:val="1"/>
    <w:qFormat/>
    <w:uiPriority w:val="0"/>
    <w:pPr>
      <w:autoSpaceDE w:val="0"/>
      <w:autoSpaceDN w:val="0"/>
      <w:adjustRightInd w:val="0"/>
      <w:ind w:left="900" w:firstLine="58"/>
      <w:jc w:val="left"/>
    </w:pPr>
    <w:rPr>
      <w:rFonts w:ascii="宋体" w:hAnsi="宋体" w:cs="Arial"/>
      <w:kern w:val="0"/>
      <w:sz w:val="28"/>
    </w:rPr>
  </w:style>
  <w:style w:type="paragraph" w:styleId="8">
    <w:name w:val="Plain Text"/>
    <w:basedOn w:val="1"/>
    <w:qFormat/>
    <w:uiPriority w:val="0"/>
    <w:rPr>
      <w:rFonts w:ascii="宋体" w:hAnsi="Courier New" w:cs="Courier New"/>
      <w:szCs w:val="21"/>
    </w:rPr>
  </w:style>
  <w:style w:type="paragraph" w:styleId="9">
    <w:name w:val="Body Text First Indent 2"/>
    <w:basedOn w:val="7"/>
    <w:unhideWhenUsed/>
    <w:qFormat/>
    <w:uiPriority w:val="99"/>
    <w:pPr>
      <w:ind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1）"/>
    <w:basedOn w:val="1"/>
    <w:qFormat/>
    <w:uiPriority w:val="0"/>
    <w:pPr>
      <w:spacing w:line="360" w:lineRule="auto"/>
    </w:pPr>
    <w:rPr>
      <w:szCs w:val="28"/>
    </w:rPr>
  </w:style>
  <w:style w:type="character" w:customStyle="1" w:styleId="14">
    <w:name w:val="标题 2 Char"/>
    <w:link w:val="4"/>
    <w:qFormat/>
    <w:uiPriority w:val="0"/>
    <w:rPr>
      <w:rFonts w:ascii="Arial" w:hAnsi="Arial"/>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1740</Words>
  <Characters>1892</Characters>
  <Lines>0</Lines>
  <Paragraphs>0</Paragraphs>
  <TotalTime>0</TotalTime>
  <ScaleCrop>false</ScaleCrop>
  <LinksUpToDate>false</LinksUpToDate>
  <CharactersWithSpaces>1952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2025-02-05T05:47:00Z</dcterms:created>
  <dc:creator>希望</dc:creator>
  <cp:lastModifiedBy>海洋</cp:lastModifiedBy>
  <cp:lastPrinted>2026-06-09T07:25:00Z</cp:lastPrinted>
  <dcterms:modified xsi:type="dcterms:W3CDTF">2026-09-22T01:04:58Z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DA6DC2D9F8D047759290EDBD7BD277D9_13</vt:lpwstr>
  </property>
  <property fmtid="{D5CDD505-2E9C-101B-9397-08002B2CF9AE}" pid="4" name="KSOTemplateDocerSaveRecord">
    <vt:lpwstr>eyJoZGlkIjoiMzZjY2NhODQ0YjkwYmE0NTA1ZGU5MzQ5NGMxOTA0ZDMiLCJ1c2VySWQiOiI0Nzg3MDgxMjEifQ==</vt:lpwstr>
  </property>
</Properties>
</file>