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2"/>
          <w:szCs w:val="28"/>
        </w:rPr>
      </w:pPr>
      <w:r>
        <w:rPr>
          <w:rFonts w:hint="eastAsia" w:ascii="黑体" w:hAnsi="宋体" w:eastAsia="黑体"/>
          <w:b/>
          <w:bCs/>
          <w:sz w:val="48"/>
          <w:szCs w:val="28"/>
        </w:rPr>
        <w:t>安徽省亳州煤业有限公司信湖煤矿</w:t>
      </w:r>
    </w:p>
    <w:p>
      <w:pPr>
        <w:jc w:val="center"/>
        <w:rPr>
          <w:b w:val="0"/>
          <w:bCs/>
          <w:sz w:val="36"/>
          <w:szCs w:val="36"/>
        </w:rPr>
      </w:pPr>
      <w:r>
        <w:rPr>
          <w:rFonts w:hint="eastAsia"/>
          <w:b w:val="0"/>
          <w:bCs/>
          <w:sz w:val="36"/>
          <w:szCs w:val="36"/>
        </w:rPr>
        <w:t>道口太阳能声光报警设备</w:t>
      </w:r>
    </w:p>
    <w:p>
      <w:pPr>
        <w:jc w:val="center"/>
        <w:rPr>
          <w:b/>
          <w:sz w:val="44"/>
          <w:szCs w:val="44"/>
        </w:rPr>
      </w:pPr>
    </w:p>
    <w:p>
      <w:pPr>
        <w:jc w:val="center"/>
        <w:rPr>
          <w:b/>
          <w:sz w:val="44"/>
          <w:szCs w:val="44"/>
        </w:rPr>
      </w:pPr>
    </w:p>
    <w:p>
      <w:pPr>
        <w:jc w:val="center"/>
        <w:rPr>
          <w:b/>
          <w:sz w:val="44"/>
          <w:szCs w:val="44"/>
        </w:rPr>
      </w:pPr>
      <w:r>
        <w:rPr>
          <w:rFonts w:hint="eastAsia"/>
          <w:b/>
          <w:sz w:val="44"/>
          <w:szCs w:val="44"/>
        </w:rPr>
        <w:t>技</w:t>
      </w:r>
    </w:p>
    <w:p>
      <w:pPr>
        <w:jc w:val="center"/>
        <w:rPr>
          <w:b/>
          <w:sz w:val="44"/>
          <w:szCs w:val="44"/>
        </w:rPr>
      </w:pPr>
    </w:p>
    <w:p>
      <w:pPr>
        <w:jc w:val="center"/>
        <w:rPr>
          <w:b/>
          <w:sz w:val="44"/>
          <w:szCs w:val="44"/>
        </w:rPr>
      </w:pPr>
    </w:p>
    <w:p>
      <w:pPr>
        <w:jc w:val="center"/>
        <w:rPr>
          <w:b/>
          <w:sz w:val="44"/>
          <w:szCs w:val="44"/>
        </w:rPr>
      </w:pPr>
      <w:r>
        <w:rPr>
          <w:rFonts w:hint="eastAsia"/>
          <w:b/>
          <w:sz w:val="44"/>
          <w:szCs w:val="44"/>
        </w:rPr>
        <w:t>术</w:t>
      </w:r>
    </w:p>
    <w:p>
      <w:pPr>
        <w:jc w:val="center"/>
        <w:rPr>
          <w:b/>
          <w:sz w:val="44"/>
          <w:szCs w:val="44"/>
        </w:rPr>
      </w:pPr>
    </w:p>
    <w:p>
      <w:pPr>
        <w:jc w:val="center"/>
        <w:rPr>
          <w:b/>
          <w:sz w:val="44"/>
          <w:szCs w:val="44"/>
        </w:rPr>
      </w:pPr>
    </w:p>
    <w:p>
      <w:pPr>
        <w:jc w:val="center"/>
        <w:rPr>
          <w:b/>
          <w:sz w:val="44"/>
          <w:szCs w:val="44"/>
        </w:rPr>
      </w:pPr>
      <w:r>
        <w:rPr>
          <w:rFonts w:hint="eastAsia"/>
          <w:b/>
          <w:sz w:val="44"/>
          <w:szCs w:val="44"/>
        </w:rPr>
        <w:t>规</w:t>
      </w:r>
    </w:p>
    <w:p>
      <w:pPr>
        <w:jc w:val="center"/>
        <w:rPr>
          <w:b/>
          <w:sz w:val="44"/>
          <w:szCs w:val="44"/>
        </w:rPr>
      </w:pPr>
    </w:p>
    <w:p>
      <w:pPr>
        <w:jc w:val="center"/>
        <w:rPr>
          <w:b/>
          <w:sz w:val="44"/>
          <w:szCs w:val="44"/>
        </w:rPr>
      </w:pPr>
    </w:p>
    <w:p>
      <w:pPr>
        <w:jc w:val="center"/>
        <w:rPr>
          <w:b/>
          <w:sz w:val="44"/>
          <w:szCs w:val="44"/>
        </w:rPr>
      </w:pPr>
      <w:r>
        <w:rPr>
          <w:rFonts w:hint="eastAsia"/>
          <w:b/>
          <w:sz w:val="44"/>
          <w:szCs w:val="44"/>
        </w:rPr>
        <w:t>格</w:t>
      </w:r>
    </w:p>
    <w:p>
      <w:pPr>
        <w:jc w:val="center"/>
        <w:rPr>
          <w:b/>
          <w:sz w:val="44"/>
          <w:szCs w:val="44"/>
        </w:rPr>
      </w:pPr>
    </w:p>
    <w:p>
      <w:pPr>
        <w:jc w:val="center"/>
        <w:rPr>
          <w:b/>
          <w:sz w:val="44"/>
          <w:szCs w:val="44"/>
        </w:rPr>
      </w:pPr>
    </w:p>
    <w:p>
      <w:pPr>
        <w:jc w:val="center"/>
        <w:rPr>
          <w:b/>
          <w:sz w:val="44"/>
          <w:szCs w:val="44"/>
        </w:rPr>
      </w:pPr>
      <w:r>
        <w:rPr>
          <w:rFonts w:hint="eastAsia"/>
          <w:b/>
          <w:sz w:val="44"/>
          <w:szCs w:val="44"/>
        </w:rPr>
        <w:t>书</w:t>
      </w: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spacing w:line="400" w:lineRule="exact"/>
        <w:jc w:val="center"/>
        <w:rPr>
          <w:b/>
          <w:sz w:val="44"/>
          <w:szCs w:val="44"/>
        </w:rPr>
      </w:pPr>
      <w:r>
        <w:rPr>
          <w:rFonts w:hint="eastAsia" w:eastAsia="楷体_GB2312"/>
          <w:sz w:val="32"/>
        </w:rPr>
        <w:t>二O二</w:t>
      </w:r>
      <w:r>
        <w:rPr>
          <w:rFonts w:hint="eastAsia" w:eastAsia="楷体_GB2312"/>
          <w:sz w:val="32"/>
          <w:lang w:val="en-US" w:eastAsia="zh-CN"/>
        </w:rPr>
        <w:t>一</w:t>
      </w:r>
      <w:r>
        <w:rPr>
          <w:rFonts w:hint="eastAsia" w:eastAsia="楷体_GB2312"/>
          <w:sz w:val="32"/>
        </w:rPr>
        <w:t>年</w:t>
      </w:r>
      <w:r>
        <w:rPr>
          <w:rFonts w:hint="eastAsia" w:eastAsia="楷体_GB2312"/>
          <w:sz w:val="32"/>
          <w:lang w:val="en-US" w:eastAsia="zh-CN"/>
        </w:rPr>
        <w:t>二</w:t>
      </w:r>
      <w:r>
        <w:rPr>
          <w:rFonts w:hint="eastAsia" w:eastAsia="楷体_GB2312"/>
          <w:sz w:val="32"/>
        </w:rPr>
        <w:t>月</w:t>
      </w:r>
    </w:p>
    <w:p>
      <w:pPr>
        <w:jc w:val="center"/>
        <w:rPr>
          <w:b/>
          <w:sz w:val="44"/>
          <w:szCs w:val="44"/>
        </w:rPr>
        <w:sectPr>
          <w:pgSz w:w="11906" w:h="16838"/>
          <w:pgMar w:top="1440" w:right="1800" w:bottom="1440" w:left="1800" w:header="851" w:footer="992" w:gutter="0"/>
          <w:cols w:space="425" w:num="1"/>
          <w:docGrid w:type="lines" w:linePitch="312" w:charSpace="0"/>
        </w:sectPr>
      </w:pPr>
    </w:p>
    <w:p>
      <w:pPr>
        <w:spacing w:line="500" w:lineRule="exact"/>
        <w:jc w:val="left"/>
        <w:rPr>
          <w:rFonts w:hint="eastAsia" w:asciiTheme="minorEastAsia" w:hAnsiTheme="minorEastAsia" w:eastAsiaTheme="minorEastAsia" w:cstheme="minorEastAsia"/>
          <w:sz w:val="28"/>
          <w:szCs w:val="28"/>
          <w:u w:val="none"/>
          <w:lang w:eastAsia="zh-CN"/>
        </w:rPr>
      </w:pPr>
      <w:r>
        <w:rPr>
          <w:rFonts w:hint="eastAsia" w:asciiTheme="minorEastAsia" w:hAnsiTheme="minorEastAsia" w:eastAsiaTheme="minorEastAsia" w:cstheme="minorEastAsia"/>
          <w:sz w:val="28"/>
          <w:szCs w:val="28"/>
          <w:u w:val="none"/>
          <w:lang w:eastAsia="zh-CN"/>
        </w:rPr>
        <w:t>一、供货范围：</w:t>
      </w:r>
    </w:p>
    <w:p>
      <w:pPr>
        <w:spacing w:line="500" w:lineRule="exact"/>
        <w:jc w:val="left"/>
        <w:rPr>
          <w:rFonts w:hint="default"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u w:val="none"/>
          <w:lang w:val="en-US" w:eastAsia="zh-CN"/>
        </w:rPr>
        <w:t xml:space="preserve">道口太阳能声光报警设备   </w:t>
      </w:r>
      <w:r>
        <w:rPr>
          <w:rFonts w:hint="eastAsia" w:asciiTheme="majorEastAsia" w:hAnsiTheme="majorEastAsia"/>
          <w:color w:val="auto"/>
          <w:sz w:val="28"/>
          <w:szCs w:val="28"/>
          <w:lang w:val="en-US" w:eastAsia="zh-CN"/>
        </w:rPr>
        <w:t xml:space="preserve"> 一套（4处道口）</w:t>
      </w:r>
    </w:p>
    <w:p>
      <w:pPr>
        <w:pStyle w:val="3"/>
        <w:numPr>
          <w:ilvl w:val="0"/>
          <w:numId w:val="0"/>
        </w:numPr>
        <w:spacing w:before="200" w:after="200" w:line="360" w:lineRule="auto"/>
        <w:ind w:leftChars="0"/>
        <w:rPr>
          <w:rFonts w:hint="eastAsia" w:asciiTheme="minorEastAsia" w:hAnsiTheme="minorEastAsia" w:eastAsiaTheme="minorEastAsia" w:cstheme="minorEastAsia"/>
          <w:sz w:val="28"/>
          <w:szCs w:val="28"/>
        </w:rPr>
      </w:pPr>
      <w:bookmarkStart w:id="0" w:name="_Toc62659619"/>
      <w:bookmarkStart w:id="1" w:name="_Toc39930240"/>
      <w:r>
        <w:rPr>
          <w:rFonts w:hint="eastAsia" w:asciiTheme="minorEastAsia" w:hAnsiTheme="minorEastAsia" w:eastAsiaTheme="minorEastAsia" w:cstheme="minorEastAsia"/>
          <w:sz w:val="28"/>
          <w:szCs w:val="28"/>
          <w:lang w:eastAsia="zh-CN"/>
        </w:rPr>
        <w:t>二、</w:t>
      </w:r>
      <w:r>
        <w:rPr>
          <w:rFonts w:hint="eastAsia" w:asciiTheme="minorEastAsia" w:hAnsiTheme="minorEastAsia" w:eastAsiaTheme="minorEastAsia" w:cstheme="minorEastAsia"/>
          <w:sz w:val="28"/>
          <w:szCs w:val="28"/>
        </w:rPr>
        <w:t>道口设备引用的标准</w:t>
      </w:r>
      <w:bookmarkEnd w:id="0"/>
      <w:bookmarkEnd w:id="1"/>
      <w:bookmarkStart w:id="3" w:name="_GoBack"/>
      <w:bookmarkEnd w:id="3"/>
    </w:p>
    <w:p>
      <w:pPr>
        <w:pStyle w:val="20"/>
        <w:spacing w:line="360" w:lineRule="auto"/>
        <w:ind w:left="359" w:leftChars="171" w:firstLine="48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由于无人道口增设太阳能报警设备尚无国家统一标准和行业规范，可部分参照以下相关标准规范执行。</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1、《平交道口自动防护设备或列车接近报警的技术规定》   TB/T2969   </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2、《道路交通信号灯设置与安装规范》             GB 14886 — 2016</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3、《铁路站内道口信号设备技术条件》                  GB 10493—2018</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4、《铁路区间道口信号设备技术条件》                  GB 10494-2018</w:t>
      </w:r>
    </w:p>
    <w:p>
      <w:pPr>
        <w:spacing w:line="440" w:lineRule="exact"/>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5、《工业企业厂内铁路、道路运输安全规程》            GB4387－2008 </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6、《铁路信号设计规范》                               TB10007－2006</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7、《计算机联锁技术条件》                TB/T3027-2002</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8、《铁路信号维护规则》                  铁运(2008)142 号文</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9、《低压电气外壳防护等级》             （GB 4208-1993）</w:t>
      </w:r>
    </w:p>
    <w:p>
      <w:pPr>
        <w:spacing w:line="440" w:lineRule="exact"/>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10、《铁路信号施工规范》                   TB10206</w:t>
      </w:r>
    </w:p>
    <w:p>
      <w:pPr>
        <w:spacing w:line="44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11、《铁路灯光信号发光强度》             TB/T 2353-1993</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tab/>
      </w:r>
    </w:p>
    <w:p>
      <w:pPr>
        <w:spacing w:line="440" w:lineRule="exact"/>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12、《信号产品的绝缘电阻》               TB/T 1447-1982</w:t>
      </w:r>
      <w:r>
        <w:rPr>
          <w:rFonts w:hint="eastAsia" w:asciiTheme="minorEastAsia" w:hAnsiTheme="minorEastAsia" w:eastAsiaTheme="minorEastAsia" w:cstheme="minorEastAsia"/>
          <w:sz w:val="28"/>
          <w:szCs w:val="28"/>
        </w:rPr>
        <w:tab/>
      </w:r>
    </w:p>
    <w:p>
      <w:pPr>
        <w:spacing w:line="440" w:lineRule="exact"/>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13、《通信信号产品的绝缘耐压》           TB/T 1448-1982</w:t>
      </w:r>
    </w:p>
    <w:p>
      <w:pPr>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14、《铁路道口管理理办法》          （铁总运【2013】121 号</w:t>
      </w:r>
    </w:p>
    <w:p>
      <w:pPr>
        <w:jc w:val="left"/>
        <w:rPr>
          <w:rFonts w:hint="eastAsia" w:asciiTheme="minorEastAsia" w:hAnsiTheme="minorEastAsia" w:eastAsiaTheme="minorEastAsia" w:cstheme="minorEastAsia"/>
          <w:sz w:val="28"/>
          <w:szCs w:val="28"/>
        </w:rPr>
        <w:sectPr>
          <w:pgSz w:w="11906" w:h="16838"/>
          <w:pgMar w:top="1440" w:right="1800" w:bottom="1440" w:left="1800" w:header="851" w:footer="992" w:gutter="0"/>
          <w:cols w:space="425" w:num="1"/>
          <w:docGrid w:type="lines" w:linePitch="312" w:charSpace="0"/>
        </w:sectPr>
      </w:pPr>
    </w:p>
    <w:p>
      <w:pPr>
        <w:pStyle w:val="3"/>
        <w:numPr>
          <w:ilvl w:val="0"/>
          <w:numId w:val="0"/>
        </w:numPr>
        <w:spacing w:before="200" w:after="200" w:line="360" w:lineRule="auto"/>
        <w:ind w:left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三、</w:t>
      </w:r>
      <w:r>
        <w:rPr>
          <w:rFonts w:hint="eastAsia" w:asciiTheme="minorEastAsia" w:hAnsiTheme="minorEastAsia" w:eastAsiaTheme="minorEastAsia" w:cstheme="minorEastAsia"/>
          <w:sz w:val="28"/>
          <w:szCs w:val="28"/>
        </w:rPr>
        <w:t>无线道口系统技术要求</w:t>
      </w: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1、系统总要求：</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整个系统稳定性高、可靠性高，关键核心设备采用双机热备模式；</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系统设计符合故障导向安全原则；</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模块化结构设计，采用部件通用性好，市场易于采购，价格不高，易于维护，系统寿命周期长；</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系统具备故障报警功能；</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系统具备维护/测试功能；</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具备事件记录功能，便于事故分析；</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通过4G单网与</w:t>
      </w:r>
      <w:r>
        <w:rPr>
          <w:rFonts w:hint="eastAsia" w:asciiTheme="minorEastAsia" w:hAnsiTheme="minorEastAsia" w:eastAsiaTheme="minorEastAsia" w:cstheme="minorEastAsia"/>
          <w:sz w:val="28"/>
          <w:szCs w:val="28"/>
        </w:rPr>
        <w:t>后台</w:t>
      </w:r>
      <w:r>
        <w:rPr>
          <w:rFonts w:hint="eastAsia" w:asciiTheme="minorEastAsia" w:hAnsiTheme="minorEastAsia" w:eastAsiaTheme="minorEastAsia" w:cstheme="minorEastAsia"/>
          <w:sz w:val="28"/>
          <w:szCs w:val="28"/>
          <w:lang w:val="zh-CN"/>
        </w:rPr>
        <w:t>中心通信；</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人机界面友好，便于维护；</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系统可靠防雷、接地措施；</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具备故障重启功能；</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安装、施工符合国家相关施工规范及验收标准。</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无线传输技术标准应符合国家相关技术标准及相关规范如：IEEE802.11n、IEEE802.16e、DVB-S2等。</w:t>
      </w:r>
    </w:p>
    <w:p>
      <w:pPr>
        <w:pStyle w:val="20"/>
        <w:numPr>
          <w:ilvl w:val="0"/>
          <w:numId w:val="1"/>
        </w:numPr>
        <w:spacing w:line="360" w:lineRule="auto"/>
        <w:ind w:firstLineChars="0"/>
        <w:jc w:val="left"/>
        <w:rPr>
          <w:rFonts w:hint="eastAsia" w:asciiTheme="minorEastAsia" w:hAnsiTheme="minorEastAsia" w:eastAsiaTheme="minorEastAsia" w:cstheme="minorEastAsia"/>
          <w:color w:val="FF0000"/>
          <w:sz w:val="28"/>
          <w:szCs w:val="28"/>
          <w:lang w:val="zh-CN"/>
        </w:rPr>
      </w:pPr>
      <w:r>
        <w:rPr>
          <w:rFonts w:hint="eastAsia" w:asciiTheme="minorEastAsia" w:hAnsiTheme="minorEastAsia" w:eastAsiaTheme="minorEastAsia" w:cstheme="minorEastAsia"/>
          <w:color w:val="FF0000"/>
          <w:sz w:val="28"/>
          <w:szCs w:val="28"/>
          <w:lang w:val="zh-CN"/>
        </w:rPr>
        <w:t>中标厂家需将该4处道口太阳能声光报警设备接入原</w:t>
      </w:r>
      <w:r>
        <w:rPr>
          <w:rFonts w:hint="eastAsia" w:asciiTheme="minorEastAsia" w:hAnsiTheme="minorEastAsia" w:eastAsiaTheme="minorEastAsia" w:cstheme="minorEastAsia"/>
          <w:color w:val="FF0000"/>
          <w:sz w:val="28"/>
          <w:szCs w:val="28"/>
          <w:lang w:val="en-US" w:eastAsia="zh-CN"/>
        </w:rPr>
        <w:t>设在临涣电务段</w:t>
      </w:r>
      <w:r>
        <w:rPr>
          <w:rFonts w:hint="eastAsia" w:asciiTheme="minorEastAsia" w:hAnsiTheme="minorEastAsia" w:eastAsiaTheme="minorEastAsia" w:cstheme="minorEastAsia"/>
          <w:color w:val="FF0000"/>
          <w:sz w:val="28"/>
          <w:szCs w:val="28"/>
          <w:lang w:val="zh-CN"/>
        </w:rPr>
        <w:t>后台维修系统。</w:t>
      </w: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2、维修终端技术要求：</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需在中心</w:t>
      </w:r>
      <w:r>
        <w:rPr>
          <w:rFonts w:hint="eastAsia" w:asciiTheme="minorEastAsia" w:hAnsiTheme="minorEastAsia" w:eastAsiaTheme="minorEastAsia" w:cstheme="minorEastAsia"/>
          <w:sz w:val="28"/>
          <w:szCs w:val="28"/>
        </w:rPr>
        <w:t>拓展</w:t>
      </w:r>
      <w:r>
        <w:rPr>
          <w:rFonts w:hint="eastAsia" w:asciiTheme="minorEastAsia" w:hAnsiTheme="minorEastAsia" w:eastAsiaTheme="minorEastAsia" w:cstheme="minorEastAsia"/>
          <w:sz w:val="28"/>
          <w:szCs w:val="28"/>
          <w:lang w:val="zh-CN"/>
        </w:rPr>
        <w:t>远程维护终端。</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终端界面可显示道口声光报警设备的运行状态，故障报警；</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终端界面上需要显示所有声光报警设备要标识相关矿区铁路及道口信息。</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终端可调用回放视频监控视频。</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终端可显示电池容量。</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终端具备声光报警事件查看功能。</w:t>
      </w: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3、太阳能声光报警设备</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在道口公路两侧来车方向安装2台太阳能声光报警装置；</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列车接近时发出声光报警，驶离时，自动关闭；</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传感器安装位置满足60秒报警时间要求；</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传感器与声光报警设备采用无线通信。</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设备采用声、光、语音同时报警，适用范围广。</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光源采用超高亮度 LED,亮度高，寿命长，能耗低。</w:t>
      </w:r>
    </w:p>
    <w:p>
      <w:pPr>
        <w:pStyle w:val="20"/>
        <w:numPr>
          <w:ilvl w:val="0"/>
          <w:numId w:val="1"/>
        </w:numPr>
        <w:spacing w:line="360" w:lineRule="auto"/>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设备集成化程度高，结构简单，免维护，故障率低。</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要求无线发送装置抗干扰能力强，禁止出现误动作，无线传输控制设备应符合国家无线电协会的相关规范</w:t>
      </w:r>
      <w:r>
        <w:rPr>
          <w:rFonts w:hint="eastAsia" w:asciiTheme="minorEastAsia" w:hAnsiTheme="minorEastAsia" w:eastAsiaTheme="minorEastAsia" w:cstheme="minorEastAsia"/>
          <w:sz w:val="28"/>
          <w:szCs w:val="28"/>
          <w:lang w:val="zh-CN"/>
        </w:rPr>
        <w:t>如：IEEE802.11n、IEEE802.16e、DVB-S2等。</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禁止无线传输设备在运行中出现死机、掉线等现象发生。</w:t>
      </w:r>
    </w:p>
    <w:p>
      <w:pPr>
        <w:pStyle w:val="20"/>
        <w:numPr>
          <w:ilvl w:val="0"/>
          <w:numId w:val="1"/>
        </w:numPr>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要求无线传输设备传输距离不小于2.0KM。</w:t>
      </w:r>
    </w:p>
    <w:p>
      <w:pPr>
        <w:pStyle w:val="20"/>
        <w:numPr>
          <w:ilvl w:val="0"/>
          <w:numId w:val="1"/>
        </w:numPr>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无线传输设备传输速率不低于1200BPS。</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要求报警接近采集设备稳定、可靠符合故障-导向安全原则。</w:t>
      </w: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4、视频监控</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每处道口安装1个高清广角摄像头，可覆盖公路30米范围；</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摄像机像素不低于400万像素，带红外功能；</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视频图像延时小于350ms，保证图像不卡顿；</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图像可通过4G网络回传维护终端；</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视频存储容量满足30天；</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采用海康威视等国内一线品牌。</w:t>
      </w:r>
    </w:p>
    <w:p>
      <w:pPr>
        <w:rPr>
          <w:rFonts w:hint="eastAsia" w:asciiTheme="minorEastAsia" w:hAnsiTheme="minorEastAsia" w:eastAsiaTheme="minorEastAsia" w:cstheme="minorEastAsia"/>
          <w:sz w:val="28"/>
          <w:szCs w:val="28"/>
        </w:rPr>
      </w:pPr>
      <w:bookmarkStart w:id="2" w:name="_Toc23552_WPSOffice_Level1"/>
      <w:r>
        <w:rPr>
          <w:rFonts w:hint="eastAsia" w:asciiTheme="minorEastAsia" w:hAnsiTheme="minorEastAsia" w:eastAsiaTheme="minorEastAsia" w:cstheme="minorEastAsia"/>
          <w:sz w:val="28"/>
          <w:szCs w:val="28"/>
        </w:rPr>
        <w:t>5、无线道口供电系统</w:t>
      </w:r>
      <w:bookmarkEnd w:id="2"/>
      <w:r>
        <w:rPr>
          <w:rFonts w:hint="eastAsia" w:asciiTheme="minorEastAsia" w:hAnsiTheme="minorEastAsia" w:eastAsiaTheme="minorEastAsia" w:cstheme="minorEastAsia"/>
          <w:sz w:val="28"/>
          <w:szCs w:val="28"/>
        </w:rPr>
        <w:t>要求</w:t>
      </w:r>
    </w:p>
    <w:p>
      <w:pPr>
        <w:ind w:left="210" w:left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1）太阳能组件</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太阳能组件采用紧凑型设计,体积小巧,高性价比，可以安装在狭小空间内,全防水型设计 IP67。</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所有的太阳能组件</w:t>
      </w:r>
      <w:r>
        <w:rPr>
          <w:rFonts w:hint="eastAsia" w:asciiTheme="minorEastAsia" w:hAnsiTheme="minorEastAsia" w:eastAsiaTheme="minorEastAsia" w:cstheme="minorEastAsia"/>
          <w:sz w:val="28"/>
          <w:szCs w:val="28"/>
        </w:rPr>
        <w:t>都要进行封装，可抵抗恶劣环境和机械破坏，应</w:t>
      </w:r>
      <w:r>
        <w:rPr>
          <w:rFonts w:hint="eastAsia" w:asciiTheme="minorEastAsia" w:hAnsiTheme="minorEastAsia" w:eastAsiaTheme="minorEastAsia" w:cstheme="minorEastAsia"/>
          <w:sz w:val="28"/>
          <w:szCs w:val="28"/>
          <w:lang w:val="zh-CN"/>
        </w:rPr>
        <w:t>做到防寒、防尘、防静电、防腐、防雨水侵入以及防爆等基本能力。</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 xml:space="preserve">太阳能电池采用单晶硅组件，面板玻璃采用单面压花低铁钢化玻璃，可见光范围内透过率大于92%。封装材料使用快速EVA和TPT背封材料，密封性能好，抗紫外线能力强，应保障电池组件能在野外恶劣的环境下长期使用，不影响设备的使用寿命。 </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太阳能组件在电气上应具有全面的保护功能，在出现短路，开路，超功率等多种异常情况时，控制器和外部设备不会损坏。</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太阳能电池应采用胶体储电池组成，应配置太阳能充放电保护器。</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太阳能组件应采用</w:t>
      </w:r>
      <w:r>
        <w:rPr>
          <w:rFonts w:hint="eastAsia" w:asciiTheme="minorEastAsia" w:hAnsiTheme="minorEastAsia" w:eastAsiaTheme="minorEastAsia" w:cstheme="minorEastAsia"/>
          <w:sz w:val="28"/>
          <w:szCs w:val="28"/>
        </w:rPr>
        <w:t>纯铝壳设计更便于散热。</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太阳能组件应扩展智能人体感应功能。</w:t>
      </w:r>
    </w:p>
    <w:p>
      <w:pPr>
        <w:ind w:left="210" w:left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2）胶体蓄电池</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电池在使用过程中</w:t>
      </w:r>
      <w:r>
        <w:rPr>
          <w:rFonts w:hint="eastAsia" w:asciiTheme="minorEastAsia" w:hAnsiTheme="minorEastAsia" w:eastAsiaTheme="minorEastAsia" w:cstheme="minorEastAsia"/>
          <w:sz w:val="28"/>
          <w:szCs w:val="28"/>
        </w:rPr>
        <w:t>使用过程中无需补水或补酸维护。</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安全可靠，特殊的密封结构。</w:t>
      </w:r>
    </w:p>
    <w:p>
      <w:pPr>
        <w:pStyle w:val="20"/>
        <w:numPr>
          <w:ilvl w:val="0"/>
          <w:numId w:val="1"/>
        </w:numPr>
        <w:spacing w:line="360" w:lineRule="auto"/>
        <w:ind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电解液被吸附于特殊的隔板中，不流动，防涌出，可坚立、旁侧、或侧放置。</w:t>
      </w:r>
    </w:p>
    <w:p>
      <w:pPr>
        <w:pStyle w:val="20"/>
        <w:numPr>
          <w:ilvl w:val="0"/>
          <w:numId w:val="1"/>
        </w:numPr>
        <w:autoSpaceDE w:val="0"/>
        <w:autoSpaceDN w:val="0"/>
        <w:spacing w:line="360" w:lineRule="auto"/>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无需均衡充电，由于单体电池的内阻、容量、浮充电压一致性好，确保电池在使用期间无需均衡充电。 </w:t>
      </w:r>
    </w:p>
    <w:p>
      <w:pPr>
        <w:pStyle w:val="20"/>
        <w:numPr>
          <w:ilvl w:val="0"/>
          <w:numId w:val="1"/>
        </w:numPr>
        <w:autoSpaceDE w:val="0"/>
        <w:autoSpaceDN w:val="0"/>
        <w:spacing w:line="360" w:lineRule="auto"/>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蓄电池的容量应满足15天连续阴雨天气下系统的供电需求。</w:t>
      </w:r>
    </w:p>
    <w:p>
      <w:pPr>
        <w:pStyle w:val="20"/>
        <w:numPr>
          <w:ilvl w:val="0"/>
          <w:numId w:val="1"/>
        </w:numPr>
        <w:autoSpaceDE w:val="0"/>
        <w:autoSpaceDN w:val="0"/>
        <w:spacing w:line="360" w:lineRule="auto"/>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蓄电池安装具备防盗功能。</w:t>
      </w:r>
    </w:p>
    <w:p>
      <w:pPr>
        <w:pStyle w:val="20"/>
        <w:numPr>
          <w:ilvl w:val="0"/>
          <w:numId w:val="1"/>
        </w:numPr>
        <w:autoSpaceDE w:val="0"/>
        <w:autoSpaceDN w:val="0"/>
        <w:spacing w:line="360" w:lineRule="auto"/>
        <w:ind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蓄电池采用国内一线品牌。</w:t>
      </w:r>
    </w:p>
    <w:p>
      <w:pPr>
        <w:pStyle w:val="20"/>
        <w:numPr>
          <w:ilvl w:val="0"/>
          <w:numId w:val="0"/>
        </w:numPr>
        <w:autoSpaceDE w:val="0"/>
        <w:autoSpaceDN w:val="0"/>
        <w:spacing w:line="360" w:lineRule="auto"/>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四、产品质量保证及技术服务</w:t>
      </w:r>
    </w:p>
    <w:p>
      <w:pPr>
        <w:pStyle w:val="20"/>
        <w:numPr>
          <w:ilvl w:val="0"/>
          <w:numId w:val="0"/>
        </w:numPr>
        <w:autoSpaceDE w:val="0"/>
        <w:autoSpaceDN w:val="0"/>
        <w:spacing w:line="360" w:lineRule="auto"/>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1、该产品经检验合格出厂后，产品质保期为12个月，质保期内由于质量和运输原因造成的元器件的损坏，</w:t>
      </w:r>
      <w:r>
        <w:rPr>
          <w:rFonts w:hint="eastAsia" w:asciiTheme="minorEastAsia" w:hAnsiTheme="minorEastAsia" w:eastAsiaTheme="minorEastAsia" w:cstheme="minorEastAsia"/>
          <w:sz w:val="28"/>
          <w:szCs w:val="28"/>
          <w:lang w:val="zh-CN" w:eastAsia="zh-CN"/>
        </w:rPr>
        <w:t>供货方</w:t>
      </w:r>
      <w:r>
        <w:rPr>
          <w:rFonts w:hint="eastAsia" w:asciiTheme="minorEastAsia" w:hAnsiTheme="minorEastAsia" w:eastAsiaTheme="minorEastAsia" w:cstheme="minorEastAsia"/>
          <w:sz w:val="28"/>
          <w:szCs w:val="28"/>
          <w:lang w:val="zh-CN"/>
        </w:rPr>
        <w:t>给予无偿更换。</w:t>
      </w:r>
    </w:p>
    <w:p>
      <w:pPr>
        <w:pStyle w:val="20"/>
        <w:numPr>
          <w:ilvl w:val="0"/>
          <w:numId w:val="0"/>
        </w:numPr>
        <w:autoSpaceDE w:val="0"/>
        <w:autoSpaceDN w:val="0"/>
        <w:spacing w:line="360" w:lineRule="auto"/>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 xml:space="preserve">2、如需要售后服务，24小时内到达现场。免费指导设备的安装、调试和培训。 </w:t>
      </w:r>
    </w:p>
    <w:p>
      <w:pPr>
        <w:pStyle w:val="20"/>
        <w:numPr>
          <w:ilvl w:val="0"/>
          <w:numId w:val="0"/>
        </w:numPr>
        <w:autoSpaceDE w:val="0"/>
        <w:autoSpaceDN w:val="0"/>
        <w:spacing w:line="360" w:lineRule="auto"/>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3、质保期后，</w:t>
      </w:r>
      <w:r>
        <w:rPr>
          <w:rFonts w:hint="eastAsia" w:asciiTheme="minorEastAsia" w:hAnsiTheme="minorEastAsia" w:eastAsiaTheme="minorEastAsia" w:cstheme="minorEastAsia"/>
          <w:sz w:val="28"/>
          <w:szCs w:val="28"/>
          <w:lang w:val="zh-CN" w:eastAsia="zh-CN"/>
        </w:rPr>
        <w:t>供货方</w:t>
      </w:r>
      <w:r>
        <w:rPr>
          <w:rFonts w:hint="eastAsia" w:asciiTheme="minorEastAsia" w:hAnsiTheme="minorEastAsia" w:eastAsiaTheme="minorEastAsia" w:cstheme="minorEastAsia"/>
          <w:sz w:val="28"/>
          <w:szCs w:val="28"/>
          <w:lang w:val="zh-CN"/>
        </w:rPr>
        <w:t>同样对产品质量给予良好的服务，如出现质量问题，及时派人到现场协助甲方解决，免费提供终身现场技术服务。</w:t>
      </w:r>
    </w:p>
    <w:p>
      <w:pPr>
        <w:pStyle w:val="20"/>
        <w:spacing w:line="360" w:lineRule="auto"/>
        <w:ind w:left="0" w:leftChars="0" w:firstLine="0"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五、其它要求</w:t>
      </w:r>
    </w:p>
    <w:p>
      <w:pPr>
        <w:pStyle w:val="20"/>
        <w:spacing w:line="360" w:lineRule="auto"/>
        <w:ind w:left="0" w:leftChars="0" w:firstLine="0"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1、</w:t>
      </w:r>
      <w:r>
        <w:rPr>
          <w:rFonts w:hint="eastAsia" w:asciiTheme="minorEastAsia" w:hAnsiTheme="minorEastAsia" w:eastAsiaTheme="minorEastAsia" w:cstheme="minorEastAsia"/>
          <w:sz w:val="28"/>
          <w:szCs w:val="28"/>
          <w:lang w:val="zh-CN" w:eastAsia="zh-CN"/>
        </w:rPr>
        <w:t>供货方</w:t>
      </w:r>
      <w:r>
        <w:rPr>
          <w:rFonts w:hint="eastAsia" w:asciiTheme="minorEastAsia" w:hAnsiTheme="minorEastAsia" w:eastAsiaTheme="minorEastAsia" w:cstheme="minorEastAsia"/>
          <w:sz w:val="28"/>
          <w:szCs w:val="28"/>
          <w:lang w:val="zh-CN"/>
        </w:rPr>
        <w:t>必需提供设备的使用说明图、图纸等技术资料，提供产品合格证原件，并给</w:t>
      </w:r>
      <w:r>
        <w:rPr>
          <w:rFonts w:hint="eastAsia" w:asciiTheme="minorEastAsia" w:hAnsiTheme="minorEastAsia" w:eastAsiaTheme="minorEastAsia" w:cstheme="minorEastAsia"/>
          <w:sz w:val="28"/>
          <w:szCs w:val="28"/>
          <w:lang w:val="en-US" w:eastAsia="zh-CN"/>
        </w:rPr>
        <w:t>使用单位</w:t>
      </w:r>
      <w:r>
        <w:rPr>
          <w:rFonts w:hint="eastAsia" w:asciiTheme="minorEastAsia" w:hAnsiTheme="minorEastAsia" w:eastAsiaTheme="minorEastAsia" w:cstheme="minorEastAsia"/>
          <w:sz w:val="28"/>
          <w:szCs w:val="28"/>
          <w:lang w:val="zh-CN"/>
        </w:rPr>
        <w:t>的工作人员提供免费培训。</w:t>
      </w:r>
    </w:p>
    <w:p>
      <w:pPr>
        <w:pStyle w:val="20"/>
        <w:spacing w:line="360" w:lineRule="auto"/>
        <w:ind w:left="0" w:leftChars="0" w:firstLine="0" w:firstLineChars="0"/>
        <w:jc w:val="left"/>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rPr>
        <w:t>2、交货时间：</w:t>
      </w:r>
      <w:r>
        <w:rPr>
          <w:rFonts w:hint="eastAsia" w:asciiTheme="minorEastAsia" w:hAnsiTheme="minorEastAsia" w:eastAsiaTheme="minorEastAsia" w:cstheme="minorEastAsia"/>
          <w:sz w:val="28"/>
          <w:szCs w:val="28"/>
          <w:lang w:val="zh-CN" w:eastAsia="zh-CN"/>
        </w:rPr>
        <w:t>合同签订后一个月</w:t>
      </w:r>
    </w:p>
    <w:p>
      <w:pPr>
        <w:pStyle w:val="20"/>
        <w:spacing w:line="360" w:lineRule="auto"/>
        <w:ind w:left="0" w:leftChars="0" w:firstLine="0" w:firstLineChars="0"/>
        <w:jc w:val="left"/>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rPr>
        <w:t>3、交货地点：</w:t>
      </w:r>
      <w:r>
        <w:rPr>
          <w:rFonts w:hint="eastAsia" w:asciiTheme="minorEastAsia" w:hAnsiTheme="minorEastAsia" w:eastAsiaTheme="minorEastAsia" w:cstheme="minorEastAsia"/>
          <w:sz w:val="28"/>
          <w:szCs w:val="28"/>
          <w:lang w:val="zh-CN" w:eastAsia="zh-CN"/>
        </w:rPr>
        <w:t>信湖煤矿</w:t>
      </w:r>
    </w:p>
    <w:p>
      <w:pPr>
        <w:pStyle w:val="20"/>
        <w:spacing w:line="360" w:lineRule="auto"/>
        <w:ind w:left="0" w:leftChars="0" w:firstLine="0" w:firstLineChars="0"/>
        <w:jc w:val="left"/>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供货清单明细：</w:t>
      </w:r>
    </w:p>
    <w:tbl>
      <w:tblPr>
        <w:tblStyle w:val="12"/>
        <w:tblpPr w:leftFromText="180" w:rightFromText="180" w:vertAnchor="text" w:horzAnchor="page" w:tblpX="2103" w:tblpY="729"/>
        <w:tblOverlap w:val="never"/>
        <w:tblW w:w="7853" w:type="dxa"/>
        <w:tblInd w:w="0" w:type="dxa"/>
        <w:tblLayout w:type="fixed"/>
        <w:tblCellMar>
          <w:top w:w="0" w:type="dxa"/>
          <w:left w:w="0" w:type="dxa"/>
          <w:bottom w:w="0" w:type="dxa"/>
          <w:right w:w="0" w:type="dxa"/>
        </w:tblCellMar>
      </w:tblPr>
      <w:tblGrid>
        <w:gridCol w:w="960"/>
        <w:gridCol w:w="2452"/>
        <w:gridCol w:w="850"/>
        <w:gridCol w:w="992"/>
        <w:gridCol w:w="2599"/>
      </w:tblGrid>
      <w:tr>
        <w:tblPrEx>
          <w:tblCellMar>
            <w:top w:w="0" w:type="dxa"/>
            <w:left w:w="0" w:type="dxa"/>
            <w:bottom w:w="0" w:type="dxa"/>
            <w:right w:w="0" w:type="dxa"/>
          </w:tblCellMar>
        </w:tblPrEx>
        <w:trPr>
          <w:trHeight w:val="6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bidi="ar"/>
              </w:rPr>
              <w:t>序号</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both"/>
              <w:textAlignment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bidi="ar"/>
              </w:rPr>
              <w:t>部件名称</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bidi="ar"/>
              </w:rPr>
              <w:t>单位</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bidi="ar"/>
              </w:rPr>
              <w:t>数量</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bidi="ar"/>
              </w:rPr>
              <w:t>备注</w:t>
            </w:r>
          </w:p>
        </w:tc>
      </w:tr>
      <w:tr>
        <w:tblPrEx>
          <w:tblCellMar>
            <w:top w:w="0" w:type="dxa"/>
            <w:left w:w="0" w:type="dxa"/>
            <w:bottom w:w="0" w:type="dxa"/>
            <w:right w:w="0" w:type="dxa"/>
          </w:tblCellMar>
        </w:tblPrEx>
        <w:trPr>
          <w:trHeight w:val="6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信号机机柱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架</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含底座</w:t>
            </w: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2</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信号灯</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红色</w:t>
            </w: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3</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标志牌</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套</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4</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扬声器</w:t>
            </w:r>
          </w:p>
        </w:tc>
        <w:tc>
          <w:tcPr>
            <w:tcW w:w="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6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5</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接收机控制箱</w:t>
            </w:r>
          </w:p>
        </w:tc>
        <w:tc>
          <w:tcPr>
            <w:tcW w:w="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套</w:t>
            </w:r>
          </w:p>
        </w:tc>
        <w:tc>
          <w:tcPr>
            <w:tcW w:w="992"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含底座、箱内附件</w:t>
            </w:r>
          </w:p>
        </w:tc>
      </w:tr>
      <w:tr>
        <w:tblPrEx>
          <w:tblCellMar>
            <w:top w:w="0" w:type="dxa"/>
            <w:left w:w="0" w:type="dxa"/>
            <w:bottom w:w="0" w:type="dxa"/>
            <w:right w:w="0" w:type="dxa"/>
          </w:tblCellMar>
        </w:tblPrEx>
        <w:trPr>
          <w:trHeight w:val="6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6</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发射机机柱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架</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法兰盘式</w:t>
            </w:r>
          </w:p>
        </w:tc>
      </w:tr>
      <w:tr>
        <w:tblPrEx>
          <w:tblCellMar>
            <w:top w:w="0" w:type="dxa"/>
            <w:left w:w="0" w:type="dxa"/>
            <w:bottom w:w="0" w:type="dxa"/>
            <w:right w:w="0" w:type="dxa"/>
          </w:tblCellMar>
        </w:tblPrEx>
        <w:trPr>
          <w:trHeight w:val="6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7</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发射机控制箱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套</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含底座、箱内附件</w:t>
            </w:r>
          </w:p>
        </w:tc>
      </w:tr>
      <w:tr>
        <w:tblPrEx>
          <w:tblCellMar>
            <w:top w:w="0" w:type="dxa"/>
            <w:left w:w="0" w:type="dxa"/>
            <w:bottom w:w="0" w:type="dxa"/>
            <w:right w:w="0" w:type="dxa"/>
          </w:tblCellMar>
        </w:tblPrEx>
        <w:trPr>
          <w:trHeight w:val="9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太阳能供电组件</w:t>
            </w:r>
          </w:p>
        </w:tc>
        <w:tc>
          <w:tcPr>
            <w:tcW w:w="850"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套</w:t>
            </w:r>
          </w:p>
        </w:tc>
        <w:tc>
          <w:tcPr>
            <w:tcW w:w="992"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16</w:t>
            </w:r>
          </w:p>
        </w:tc>
        <w:tc>
          <w:tcPr>
            <w:tcW w:w="259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含太阳能电池板，支架，电池</w:t>
            </w: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9</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传感器</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16</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含支架</w:t>
            </w: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10</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电缆盒</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16</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11</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防护管</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16</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一字型</w:t>
            </w:r>
          </w:p>
        </w:tc>
      </w:tr>
      <w:tr>
        <w:tblPrEx>
          <w:tblCellMar>
            <w:top w:w="0" w:type="dxa"/>
            <w:left w:w="0" w:type="dxa"/>
            <w:bottom w:w="0" w:type="dxa"/>
            <w:right w:w="0" w:type="dxa"/>
          </w:tblCellMar>
        </w:tblPrEx>
        <w:trPr>
          <w:trHeight w:val="8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12</w:t>
            </w:r>
          </w:p>
        </w:tc>
        <w:tc>
          <w:tcPr>
            <w:tcW w:w="245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4G模块</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监测、上传设备信息</w:t>
            </w:r>
          </w:p>
        </w:tc>
      </w:tr>
      <w:tr>
        <w:tblPrEx>
          <w:tblCellMar>
            <w:top w:w="0" w:type="dxa"/>
            <w:left w:w="0" w:type="dxa"/>
            <w:bottom w:w="0" w:type="dxa"/>
            <w:right w:w="0"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13</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无线发射模块</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14</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无线接收模块</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15</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语音模块</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16</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信号处理模块</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个</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8</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jc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17</w:t>
            </w:r>
          </w:p>
        </w:tc>
        <w:tc>
          <w:tcPr>
            <w:tcW w:w="245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信号电缆</w:t>
            </w:r>
            <w:r>
              <w:rPr>
                <w:rFonts w:hint="eastAsia" w:asciiTheme="minorEastAsia" w:hAnsiTheme="minorEastAsia" w:eastAsiaTheme="minorEastAsia" w:cstheme="minorEastAsia"/>
                <w:color w:val="auto"/>
                <w:sz w:val="28"/>
                <w:szCs w:val="28"/>
              </w:rPr>
              <w:t>PTYA23-4芯</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KM</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0.68</w:t>
            </w:r>
          </w:p>
        </w:tc>
        <w:tc>
          <w:tcPr>
            <w:tcW w:w="259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30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18</w:t>
            </w:r>
          </w:p>
        </w:tc>
        <w:tc>
          <w:tcPr>
            <w:tcW w:w="245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电源线2*1.5m</w:t>
            </w:r>
            <w:r>
              <w:rPr>
                <w:rStyle w:val="21"/>
                <w:rFonts w:hint="eastAsia" w:asciiTheme="minorEastAsia" w:hAnsiTheme="minorEastAsia" w:eastAsiaTheme="minorEastAsia" w:cstheme="minorEastAsia"/>
                <w:sz w:val="28"/>
                <w:szCs w:val="28"/>
                <w:lang w:bidi="ar"/>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KM</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0.68</w:t>
            </w:r>
          </w:p>
        </w:tc>
        <w:tc>
          <w:tcPr>
            <w:tcW w:w="259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p>
        </w:tc>
      </w:tr>
      <w:tr>
        <w:tblPrEx>
          <w:tblCellMar>
            <w:top w:w="0" w:type="dxa"/>
            <w:left w:w="0" w:type="dxa"/>
            <w:bottom w:w="0" w:type="dxa"/>
            <w:right w:w="0" w:type="dxa"/>
          </w:tblCellMar>
        </w:tblPrEx>
        <w:trPr>
          <w:trHeight w:val="8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19</w:t>
            </w:r>
          </w:p>
        </w:tc>
        <w:tc>
          <w:tcPr>
            <w:tcW w:w="245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摄像机</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台</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4</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4G网络摄像机含辅件</w:t>
            </w:r>
          </w:p>
        </w:tc>
      </w:tr>
      <w:tr>
        <w:tblPrEx>
          <w:tblCellMar>
            <w:top w:w="0" w:type="dxa"/>
            <w:left w:w="0" w:type="dxa"/>
            <w:bottom w:w="0" w:type="dxa"/>
            <w:right w:w="0" w:type="dxa"/>
          </w:tblCellMar>
        </w:tblPrEx>
        <w:trPr>
          <w:trHeight w:val="8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lang w:bidi="ar"/>
              </w:rPr>
            </w:pPr>
            <w:r>
              <w:rPr>
                <w:rFonts w:hint="eastAsia" w:asciiTheme="minorEastAsia" w:hAnsiTheme="minorEastAsia" w:eastAsiaTheme="minorEastAsia" w:cstheme="minorEastAsia"/>
                <w:sz w:val="28"/>
                <w:szCs w:val="28"/>
                <w:lang w:bidi="ar"/>
              </w:rPr>
              <w:t>20</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lang w:bidi="ar"/>
              </w:rPr>
            </w:pPr>
            <w:r>
              <w:rPr>
                <w:rFonts w:hint="eastAsia" w:asciiTheme="minorEastAsia" w:hAnsiTheme="minorEastAsia" w:eastAsiaTheme="minorEastAsia" w:cstheme="minorEastAsia"/>
                <w:sz w:val="28"/>
                <w:szCs w:val="28"/>
                <w:lang w:bidi="ar"/>
              </w:rPr>
              <w:t>终端系统升级拓展</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lang w:bidi="ar"/>
              </w:rPr>
            </w:pPr>
            <w:r>
              <w:rPr>
                <w:rFonts w:hint="eastAsia" w:asciiTheme="minorEastAsia" w:hAnsiTheme="minorEastAsia" w:eastAsiaTheme="minorEastAsia" w:cstheme="minorEastAsia"/>
                <w:sz w:val="28"/>
                <w:szCs w:val="28"/>
                <w:lang w:bidi="ar"/>
              </w:rPr>
              <w:t>套</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lang w:bidi="ar"/>
              </w:rPr>
            </w:pPr>
            <w:r>
              <w:rPr>
                <w:rFonts w:hint="eastAsia" w:asciiTheme="minorEastAsia" w:hAnsiTheme="minorEastAsia" w:eastAsiaTheme="minorEastAsia" w:cstheme="minorEastAsia"/>
                <w:sz w:val="28"/>
                <w:szCs w:val="28"/>
                <w:lang w:bidi="ar"/>
              </w:rPr>
              <w:t>1</w:t>
            </w:r>
          </w:p>
        </w:tc>
        <w:tc>
          <w:tcPr>
            <w:tcW w:w="259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lang w:bidi="ar"/>
              </w:rPr>
            </w:pPr>
          </w:p>
        </w:tc>
      </w:tr>
      <w:tr>
        <w:tblPrEx>
          <w:tblCellMar>
            <w:top w:w="0" w:type="dxa"/>
            <w:left w:w="0" w:type="dxa"/>
            <w:bottom w:w="0" w:type="dxa"/>
            <w:right w:w="0" w:type="dxa"/>
          </w:tblCellMar>
        </w:tblPrEx>
        <w:trPr>
          <w:trHeight w:val="840"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21</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摄像机立杆</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套</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4</w:t>
            </w:r>
          </w:p>
        </w:tc>
        <w:tc>
          <w:tcPr>
            <w:tcW w:w="2599"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含地笼、支架配件</w:t>
            </w:r>
          </w:p>
        </w:tc>
      </w:tr>
      <w:tr>
        <w:tblPrEx>
          <w:tblCellMar>
            <w:top w:w="0" w:type="dxa"/>
            <w:left w:w="0" w:type="dxa"/>
            <w:bottom w:w="0" w:type="dxa"/>
            <w:right w:w="0" w:type="dxa"/>
          </w:tblCellMar>
        </w:tblPrEx>
        <w:trPr>
          <w:trHeight w:val="1264"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22</w:t>
            </w:r>
          </w:p>
        </w:tc>
        <w:tc>
          <w:tcPr>
            <w:tcW w:w="245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4G物联网卡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张</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12</w:t>
            </w:r>
          </w:p>
        </w:tc>
        <w:tc>
          <w:tcPr>
            <w:tcW w:w="259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根据当地电信/移动/联通公司实际业务办理</w:t>
            </w:r>
          </w:p>
        </w:tc>
      </w:tr>
    </w:tbl>
    <w:p>
      <w:pPr>
        <w:rPr>
          <w:rFonts w:hint="eastAsia" w:asciiTheme="minorEastAsia" w:hAnsiTheme="minorEastAsia" w:eastAsiaTheme="minorEastAsia" w:cstheme="minorEastAsia"/>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E62023"/>
    <w:multiLevelType w:val="multilevel"/>
    <w:tmpl w:val="6FE62023"/>
    <w:lvl w:ilvl="0" w:tentative="0">
      <w:start w:val="1"/>
      <w:numFmt w:val="bullet"/>
      <w:lvlText w:val=""/>
      <w:lvlJc w:val="left"/>
      <w:pPr>
        <w:ind w:left="846" w:hanging="420"/>
      </w:pPr>
      <w:rPr>
        <w:rFonts w:hint="default" w:ascii="Wingdings" w:hAnsi="Wingdings"/>
        <w:lang w:val="en-U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AF6CFB"/>
    <w:rsid w:val="0001334C"/>
    <w:rsid w:val="00091C56"/>
    <w:rsid w:val="001C111F"/>
    <w:rsid w:val="00213074"/>
    <w:rsid w:val="002C0A42"/>
    <w:rsid w:val="00447DF2"/>
    <w:rsid w:val="004511E6"/>
    <w:rsid w:val="005503CC"/>
    <w:rsid w:val="005B35CE"/>
    <w:rsid w:val="00637ADE"/>
    <w:rsid w:val="007A2A58"/>
    <w:rsid w:val="00AC0038"/>
    <w:rsid w:val="00B82F1B"/>
    <w:rsid w:val="00BB2028"/>
    <w:rsid w:val="00C7519A"/>
    <w:rsid w:val="00E215B2"/>
    <w:rsid w:val="00EB7F7E"/>
    <w:rsid w:val="01710840"/>
    <w:rsid w:val="07357058"/>
    <w:rsid w:val="19927235"/>
    <w:rsid w:val="1D832351"/>
    <w:rsid w:val="1EB303E9"/>
    <w:rsid w:val="24896E12"/>
    <w:rsid w:val="3159669C"/>
    <w:rsid w:val="33BC5C29"/>
    <w:rsid w:val="34930B7E"/>
    <w:rsid w:val="37972109"/>
    <w:rsid w:val="39BA06D6"/>
    <w:rsid w:val="3AD26F69"/>
    <w:rsid w:val="434629EE"/>
    <w:rsid w:val="49A22A1D"/>
    <w:rsid w:val="50C26505"/>
    <w:rsid w:val="517C74C1"/>
    <w:rsid w:val="54527AB9"/>
    <w:rsid w:val="56CB32E5"/>
    <w:rsid w:val="5E651270"/>
    <w:rsid w:val="65BE2C3F"/>
    <w:rsid w:val="709B5FDB"/>
    <w:rsid w:val="73AF6CFB"/>
    <w:rsid w:val="78DE30FA"/>
    <w:rsid w:val="7B2B73C3"/>
    <w:rsid w:val="7BD47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color w:val="000000"/>
      <w:sz w:val="21"/>
      <w:szCs w:val="24"/>
      <w:lang w:val="en-US" w:eastAsia="zh-CN" w:bidi="ar-SA"/>
    </w:rPr>
  </w:style>
  <w:style w:type="paragraph" w:styleId="2">
    <w:name w:val="heading 1"/>
    <w:basedOn w:val="1"/>
    <w:next w:val="1"/>
    <w:qFormat/>
    <w:uiPriority w:val="1"/>
    <w:pPr>
      <w:ind w:left="724" w:hanging="565"/>
      <w:outlineLvl w:val="0"/>
    </w:pPr>
    <w:rPr>
      <w:rFonts w:ascii="微软雅黑" w:hAnsi="微软雅黑" w:eastAsia="微软雅黑" w:cs="微软雅黑"/>
      <w:b/>
      <w:bCs/>
      <w:sz w:val="28"/>
      <w:szCs w:val="28"/>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3"/>
    <w:qFormat/>
    <w:uiPriority w:val="0"/>
    <w:pPr>
      <w:jc w:val="left"/>
    </w:pPr>
  </w:style>
  <w:style w:type="paragraph" w:styleId="6">
    <w:name w:val="Body Text"/>
    <w:basedOn w:val="1"/>
    <w:qFormat/>
    <w:uiPriority w:val="1"/>
    <w:rPr>
      <w:rFonts w:ascii="微软雅黑" w:hAnsi="微软雅黑" w:eastAsia="微软雅黑" w:cs="微软雅黑"/>
      <w:sz w:val="28"/>
      <w:szCs w:val="28"/>
    </w:rPr>
  </w:style>
  <w:style w:type="paragraph" w:styleId="7">
    <w:name w:val="Balloon Text"/>
    <w:basedOn w:val="1"/>
    <w:link w:val="22"/>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99"/>
    <w:pPr>
      <w:widowControl/>
      <w:pBdr>
        <w:bottom w:val="single" w:color="auto" w:sz="6" w:space="1"/>
      </w:pBdr>
      <w:tabs>
        <w:tab w:val="center" w:pos="4153"/>
        <w:tab w:val="right" w:pos="8306"/>
      </w:tabs>
      <w:snapToGrid w:val="0"/>
      <w:spacing w:after="200" w:line="276" w:lineRule="auto"/>
      <w:jc w:val="center"/>
    </w:pPr>
    <w:rPr>
      <w:rFonts w:ascii="Calibri" w:hAnsi="Calibri"/>
      <w:color w:val="auto"/>
      <w:sz w:val="18"/>
      <w:szCs w:val="18"/>
    </w:rPr>
  </w:style>
  <w:style w:type="paragraph" w:styleId="10">
    <w:name w:val="toc 2"/>
    <w:basedOn w:val="1"/>
    <w:next w:val="1"/>
    <w:unhideWhenUsed/>
    <w:qFormat/>
    <w:uiPriority w:val="39"/>
    <w:pPr>
      <w:ind w:left="420" w:leftChars="200"/>
    </w:pPr>
  </w:style>
  <w:style w:type="paragraph" w:styleId="11">
    <w:name w:val="annotation subject"/>
    <w:basedOn w:val="5"/>
    <w:next w:val="5"/>
    <w:link w:val="24"/>
    <w:qFormat/>
    <w:uiPriority w:val="0"/>
    <w:rPr>
      <w:b/>
      <w:bCs/>
    </w:rPr>
  </w:style>
  <w:style w:type="character" w:styleId="14">
    <w:name w:val="Strong"/>
    <w:basedOn w:val="13"/>
    <w:qFormat/>
    <w:uiPriority w:val="22"/>
    <w:rPr>
      <w:b/>
      <w:bCs/>
    </w:rPr>
  </w:style>
  <w:style w:type="character" w:styleId="15">
    <w:name w:val="page number"/>
    <w:basedOn w:val="13"/>
    <w:qFormat/>
    <w:uiPriority w:val="99"/>
  </w:style>
  <w:style w:type="character" w:styleId="16">
    <w:name w:val="Hyperlink"/>
    <w:basedOn w:val="13"/>
    <w:unhideWhenUsed/>
    <w:qFormat/>
    <w:uiPriority w:val="99"/>
    <w:rPr>
      <w:color w:val="0563C1" w:themeColor="hyperlink"/>
      <w:u w:val="single"/>
      <w14:textFill>
        <w14:solidFill>
          <w14:schemeClr w14:val="hlink"/>
        </w14:solidFill>
      </w14:textFill>
    </w:rPr>
  </w:style>
  <w:style w:type="character" w:styleId="17">
    <w:name w:val="annotation reference"/>
    <w:basedOn w:val="13"/>
    <w:qFormat/>
    <w:uiPriority w:val="0"/>
    <w:rPr>
      <w:sz w:val="21"/>
      <w:szCs w:val="21"/>
    </w:rPr>
  </w:style>
  <w:style w:type="paragraph" w:customStyle="1" w:styleId="18">
    <w:name w:val="Table Paragraph"/>
    <w:basedOn w:val="1"/>
    <w:qFormat/>
    <w:uiPriority w:val="1"/>
    <w:rPr>
      <w:rFonts w:ascii="微软雅黑" w:hAnsi="微软雅黑" w:eastAsia="微软雅黑" w:cs="微软雅黑"/>
    </w:rPr>
  </w:style>
  <w:style w:type="paragraph" w:customStyle="1" w:styleId="19">
    <w:name w:val="TOC 标题1"/>
    <w:basedOn w:val="2"/>
    <w:next w:val="1"/>
    <w:semiHidden/>
    <w:unhideWhenUsed/>
    <w:qFormat/>
    <w:uiPriority w:val="39"/>
    <w:pPr>
      <w:widowControl/>
      <w:spacing w:before="480" w:line="276" w:lineRule="auto"/>
      <w:jc w:val="left"/>
      <w:outlineLvl w:val="9"/>
    </w:pPr>
    <w:rPr>
      <w:rFonts w:asciiTheme="majorHAnsi" w:hAnsiTheme="majorHAnsi" w:eastAsiaTheme="majorEastAsia" w:cstheme="majorBidi"/>
      <w:color w:val="2E75B6" w:themeColor="accent1" w:themeShade="BF"/>
    </w:rPr>
  </w:style>
  <w:style w:type="paragraph" w:styleId="20">
    <w:name w:val="List Paragraph"/>
    <w:basedOn w:val="1"/>
    <w:qFormat/>
    <w:uiPriority w:val="34"/>
    <w:pPr>
      <w:ind w:firstLine="420" w:firstLineChars="200"/>
    </w:pPr>
  </w:style>
  <w:style w:type="character" w:customStyle="1" w:styleId="21">
    <w:name w:val="font01"/>
    <w:basedOn w:val="13"/>
    <w:qFormat/>
    <w:uiPriority w:val="0"/>
    <w:rPr>
      <w:rFonts w:ascii="宋体" w:hAnsi="宋体" w:eastAsia="宋体" w:cs="宋体"/>
      <w:color w:val="000000"/>
      <w:sz w:val="22"/>
      <w:szCs w:val="22"/>
      <w:u w:val="none"/>
    </w:rPr>
  </w:style>
  <w:style w:type="character" w:customStyle="1" w:styleId="22">
    <w:name w:val="批注框文本 Char"/>
    <w:basedOn w:val="13"/>
    <w:link w:val="7"/>
    <w:qFormat/>
    <w:uiPriority w:val="0"/>
    <w:rPr>
      <w:color w:val="000000"/>
      <w:sz w:val="18"/>
      <w:szCs w:val="18"/>
    </w:rPr>
  </w:style>
  <w:style w:type="character" w:customStyle="1" w:styleId="23">
    <w:name w:val="批注文字 Char"/>
    <w:basedOn w:val="13"/>
    <w:link w:val="5"/>
    <w:qFormat/>
    <w:uiPriority w:val="0"/>
    <w:rPr>
      <w:color w:val="000000"/>
      <w:sz w:val="21"/>
      <w:szCs w:val="24"/>
    </w:rPr>
  </w:style>
  <w:style w:type="character" w:customStyle="1" w:styleId="24">
    <w:name w:val="批注主题 Char"/>
    <w:basedOn w:val="23"/>
    <w:link w:val="11"/>
    <w:qFormat/>
    <w:uiPriority w:val="0"/>
    <w:rPr>
      <w:b/>
      <w:bCs/>
      <w:color w:val="000000"/>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Pages>
  <Words>518</Words>
  <Characters>2956</Characters>
  <Lines>24</Lines>
  <Paragraphs>6</Paragraphs>
  <TotalTime>0</TotalTime>
  <ScaleCrop>false</ScaleCrop>
  <LinksUpToDate>false</LinksUpToDate>
  <CharactersWithSpaces>3468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2021-01-27T12:13:00Z</dcterms:created>
  <dc:creator>liu</dc:creator>
  <cp:lastModifiedBy>SXJ</cp:lastModifiedBy>
  <dcterms:modified xsi:type="dcterms:W3CDTF">2021-03-03T01:48:22Z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