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ind w:firstLine="723"/>
        <w:rPr>
          <w:rFonts w:asciiTheme="minorEastAsia" w:hAnsiTheme="minorEastAsia"/>
        </w:rPr>
      </w:pPr>
      <w:r>
        <w:rPr>
          <w:rFonts w:hint="eastAsia" w:cs="Times New Roman" w:asciiTheme="minorEastAsia" w:hAnsiTheme="minorEastAsia"/>
        </w:rPr>
        <w:t>淮北矿业气动锚杆钻机及配件技术规格书</w:t>
      </w:r>
    </w:p>
    <w:p>
      <w:pPr>
        <w:ind w:firstLine="640"/>
        <w:rPr>
          <w:rFonts w:ascii="黑体" w:hAnsi="Times New Roman" w:eastAsia="黑体" w:cs="黑体"/>
          <w:szCs w:val="32"/>
        </w:rPr>
      </w:pPr>
      <w:r>
        <w:rPr>
          <w:rFonts w:hint="eastAsia" w:ascii="黑体" w:hAnsi="Times New Roman" w:eastAsia="黑体" w:cs="黑体"/>
          <w:szCs w:val="32"/>
        </w:rPr>
        <w:t>一、项目概况及招标范围</w:t>
      </w:r>
    </w:p>
    <w:p>
      <w:pPr>
        <w:ind w:firstLine="640"/>
        <w:rPr>
          <w:b/>
          <w:bCs/>
        </w:rPr>
      </w:pPr>
      <w:r>
        <w:t>1.</w:t>
      </w:r>
      <w:r>
        <w:rPr>
          <w:rFonts w:hint="eastAsia"/>
        </w:rPr>
        <w:t>项目概况：气动锚杆钻机用于顶板</w:t>
      </w:r>
      <w:r>
        <w:rPr>
          <w:rFonts w:hint="eastAsia"/>
          <w:lang w:val="en-US" w:eastAsia="zh-CN"/>
        </w:rPr>
        <w:t>岩石</w:t>
      </w:r>
      <w:r>
        <w:rPr>
          <w:rFonts w:hint="eastAsia" w:ascii="仿宋_GB2312"/>
        </w:rPr>
        <w:t>f</w:t>
      </w:r>
      <w:r>
        <w:rPr>
          <w:rFonts w:hint="eastAsia" w:ascii="仿宋_GB2312"/>
          <w:lang w:val="en-US" w:eastAsia="zh-CN"/>
        </w:rPr>
        <w:t>12硬度下</w:t>
      </w:r>
      <w:r>
        <w:rPr>
          <w:rFonts w:hint="eastAsia"/>
        </w:rPr>
        <w:t>的煤及半煤岩巷、岩巷</w:t>
      </w:r>
      <w:r>
        <w:rPr>
          <w:rFonts w:hint="eastAsia" w:ascii="仿宋_GB2312" w:hAnsi="仿宋_GB2312"/>
          <w:szCs w:val="32"/>
        </w:rPr>
        <w:t>的</w:t>
      </w:r>
      <w:r>
        <w:rPr>
          <w:rFonts w:hint="eastAsia" w:ascii="仿宋_GB2312" w:hAnsi="仿宋_GB2312"/>
          <w:szCs w:val="32"/>
          <w:lang w:eastAsia="zh-CN"/>
        </w:rPr>
        <w:t>支护</w:t>
      </w:r>
      <w:r>
        <w:rPr>
          <w:rFonts w:hint="eastAsia" w:ascii="仿宋_GB2312" w:hAnsi="仿宋_GB2312"/>
          <w:color w:val="auto"/>
          <w:szCs w:val="32"/>
          <w:u w:val="none"/>
        </w:rPr>
        <w:t>作</w:t>
      </w:r>
      <w:r>
        <w:rPr>
          <w:rFonts w:hint="eastAsia" w:ascii="仿宋_GB2312" w:hAnsi="仿宋_GB2312"/>
          <w:szCs w:val="32"/>
        </w:rPr>
        <w:t>业，是集钻孔、搅拌、安装于一身的理想锚护工具。</w:t>
      </w:r>
    </w:p>
    <w:p>
      <w:pPr>
        <w:ind w:firstLine="640"/>
        <w:rPr>
          <w:rFonts w:hint="eastAsia" w:ascii="仿宋_GB2312"/>
        </w:rPr>
      </w:pPr>
      <w:r>
        <w:t>2.</w:t>
      </w:r>
      <w:r>
        <w:rPr>
          <w:rFonts w:hint="eastAsia"/>
        </w:rPr>
        <w:t>本次</w:t>
      </w:r>
      <w:r>
        <w:rPr>
          <w:rFonts w:hint="eastAsia"/>
          <w:lang w:eastAsia="zh-CN"/>
        </w:rPr>
        <w:t>采购型号：</w:t>
      </w:r>
      <w:r>
        <w:rPr>
          <w:rFonts w:hint="eastAsia"/>
        </w:rPr>
        <w:t>气动锚杆钻机</w:t>
      </w:r>
      <w:r>
        <w:rPr>
          <w:rFonts w:hint="eastAsia" w:ascii="仿宋_GB2312"/>
        </w:rPr>
        <w:t xml:space="preserve">MQT-130 </w:t>
      </w:r>
    </w:p>
    <w:p>
      <w:pPr>
        <w:ind w:firstLine="640"/>
        <w:rPr>
          <w:rFonts w:ascii="黑体" w:hAnsi="Times New Roman" w:eastAsia="黑体" w:cs="黑体"/>
          <w:szCs w:val="32"/>
        </w:rPr>
      </w:pPr>
      <w:r>
        <w:rPr>
          <w:rFonts w:hint="eastAsia" w:ascii="黑体" w:hAnsi="Times New Roman" w:eastAsia="黑体" w:cs="黑体"/>
          <w:szCs w:val="32"/>
        </w:rPr>
        <w:t>二、技术要求及主要技术参数</w:t>
      </w:r>
    </w:p>
    <w:p>
      <w:pPr>
        <w:ind w:firstLine="640"/>
        <w:rPr>
          <w:rFonts w:hint="eastAsia" w:hAnsi="仿宋_GB2312"/>
          <w:szCs w:val="32"/>
        </w:rPr>
      </w:pPr>
      <w:r>
        <w:rPr>
          <w:rFonts w:hint="eastAsia" w:hAnsi="仿宋_GB2312"/>
          <w:szCs w:val="32"/>
        </w:rPr>
        <w:t>投标人响应的产品型号应是能够满足技术性能要求的产品并具有有效的矿用产品安全标志证书。</w:t>
      </w:r>
    </w:p>
    <w:p>
      <w:pPr>
        <w:ind w:left="0" w:leftChars="0" w:firstLine="640" w:firstLineChars="200"/>
        <w:rPr>
          <w:rFonts w:ascii="仿宋_GB2312"/>
          <w:szCs w:val="32"/>
        </w:rPr>
      </w:pPr>
      <w:r>
        <w:rPr>
          <w:rFonts w:hint="eastAsia" w:ascii="仿宋_GB2312"/>
          <w:szCs w:val="32"/>
        </w:rPr>
        <w:t>执行标准：MT/T688-1997</w:t>
      </w:r>
      <w:r>
        <w:rPr>
          <w:rFonts w:hint="eastAsia" w:ascii="仿宋_GB2312" w:hAnsi="宋体" w:cs="仿宋_GB2312"/>
          <w:szCs w:val="32"/>
        </w:rPr>
        <w:t>。</w:t>
      </w:r>
    </w:p>
    <w:p>
      <w:pPr>
        <w:ind w:firstLine="640"/>
        <w:rPr>
          <w:rFonts w:hint="eastAsia" w:ascii="仿宋_GB2312"/>
          <w:szCs w:val="32"/>
        </w:rPr>
      </w:pPr>
      <w:r>
        <w:rPr>
          <w:rFonts w:hint="eastAsia" w:ascii="仿宋_GB2312"/>
          <w:szCs w:val="32"/>
        </w:rPr>
        <w:t>主要技术要求：</w:t>
      </w:r>
    </w:p>
    <w:tbl>
      <w:tblPr>
        <w:tblStyle w:val="17"/>
        <w:tblW w:w="89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25"/>
        <w:gridCol w:w="1405"/>
        <w:gridCol w:w="1366"/>
        <w:gridCol w:w="1459"/>
        <w:gridCol w:w="1335"/>
        <w:gridCol w:w="160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9" w:hRule="atLeast"/>
          <w:jc w:val="center"/>
        </w:trPr>
        <w:tc>
          <w:tcPr>
            <w:tcW w:w="3230" w:type="dxa"/>
            <w:gridSpan w:val="2"/>
            <w:vAlign w:val="center"/>
          </w:tcPr>
          <w:p>
            <w:pPr>
              <w:pStyle w:val="16"/>
              <w:spacing w:before="108" w:line="220" w:lineRule="auto"/>
              <w:ind w:left="0" w:leftChars="0" w:firstLine="0" w:firstLineChars="0"/>
              <w:jc w:val="center"/>
              <w:rPr>
                <w:rFonts w:hint="default" w:ascii="Times New Roman" w:hAnsi="Times New Roman" w:eastAsia="仿宋_GB2312" w:cs="Times New Roman"/>
                <w:b w:val="0"/>
                <w:bCs w:val="0"/>
              </w:rPr>
            </w:pPr>
            <w:r>
              <w:rPr>
                <w:rFonts w:hint="default" w:ascii="Times New Roman" w:hAnsi="Times New Roman" w:eastAsia="仿宋_GB2312" w:cs="Times New Roman"/>
                <w:b w:val="0"/>
                <w:bCs w:val="0"/>
                <w:spacing w:val="-3"/>
              </w:rPr>
              <w:t>基本性能</w:t>
            </w:r>
          </w:p>
        </w:tc>
        <w:tc>
          <w:tcPr>
            <w:tcW w:w="1366" w:type="dxa"/>
            <w:vAlign w:val="center"/>
          </w:tcPr>
          <w:p>
            <w:pPr>
              <w:pStyle w:val="16"/>
              <w:spacing w:before="109" w:line="221" w:lineRule="auto"/>
              <w:ind w:left="0" w:leftChars="0" w:firstLine="0" w:firstLineChars="0"/>
              <w:jc w:val="center"/>
              <w:rPr>
                <w:rFonts w:hint="default" w:ascii="Times New Roman" w:hAnsi="Times New Roman" w:eastAsia="仿宋_GB2312" w:cs="Times New Roman"/>
                <w:b w:val="0"/>
                <w:bCs w:val="0"/>
              </w:rPr>
            </w:pPr>
            <w:r>
              <w:rPr>
                <w:rFonts w:hint="default" w:ascii="Times New Roman" w:hAnsi="Times New Roman" w:eastAsia="仿宋_GB2312" w:cs="Times New Roman"/>
                <w:b w:val="0"/>
                <w:bCs w:val="0"/>
                <w:spacing w:val="-7"/>
              </w:rPr>
              <w:t>单</w:t>
            </w:r>
            <w:r>
              <w:rPr>
                <w:rFonts w:hint="default" w:ascii="Times New Roman" w:hAnsi="Times New Roman" w:eastAsia="仿宋_GB2312" w:cs="Times New Roman"/>
                <w:b w:val="0"/>
                <w:bCs w:val="0"/>
                <w:spacing w:val="4"/>
              </w:rPr>
              <w:t xml:space="preserve">  </w:t>
            </w:r>
            <w:r>
              <w:rPr>
                <w:rFonts w:hint="default" w:ascii="Times New Roman" w:hAnsi="Times New Roman" w:eastAsia="仿宋_GB2312" w:cs="Times New Roman"/>
                <w:b w:val="0"/>
                <w:bCs w:val="0"/>
                <w:spacing w:val="-7"/>
              </w:rPr>
              <w:t>位</w:t>
            </w:r>
          </w:p>
        </w:tc>
        <w:tc>
          <w:tcPr>
            <w:tcW w:w="4402" w:type="dxa"/>
            <w:gridSpan w:val="3"/>
            <w:vAlign w:val="center"/>
          </w:tcPr>
          <w:p>
            <w:pPr>
              <w:pStyle w:val="16"/>
              <w:spacing w:before="108" w:line="226" w:lineRule="auto"/>
              <w:ind w:left="0" w:leftChars="0" w:firstLine="0" w:firstLineChars="0"/>
              <w:jc w:val="center"/>
              <w:rPr>
                <w:rFonts w:hint="default" w:ascii="Times New Roman" w:hAnsi="Times New Roman" w:eastAsia="仿宋_GB2312" w:cs="Times New Roman"/>
                <w:b w:val="0"/>
                <w:bCs w:val="0"/>
              </w:rPr>
            </w:pPr>
            <w:r>
              <w:rPr>
                <w:rFonts w:hint="eastAsia" w:ascii="仿宋_GB2312" w:hAnsi="仿宋_GB2312" w:eastAsia="仿宋_GB2312" w:cs="仿宋_GB2312"/>
                <w:kern w:val="0"/>
                <w:sz w:val="24"/>
              </w:rPr>
              <w:t>数值</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工作压力</w:t>
            </w:r>
          </w:p>
        </w:tc>
        <w:tc>
          <w:tcPr>
            <w:tcW w:w="1366" w:type="dxa"/>
            <w:vAlign w:val="center"/>
          </w:tcPr>
          <w:p>
            <w:pPr>
              <w:pStyle w:val="16"/>
              <w:spacing w:before="152" w:line="18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rPr>
              <w:t>MPa</w:t>
            </w:r>
          </w:p>
        </w:tc>
        <w:tc>
          <w:tcPr>
            <w:tcW w:w="1459"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0.4</w:t>
            </w:r>
          </w:p>
        </w:tc>
        <w:tc>
          <w:tcPr>
            <w:tcW w:w="1335"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0.5</w:t>
            </w:r>
          </w:p>
        </w:tc>
        <w:tc>
          <w:tcPr>
            <w:tcW w:w="1608"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0.63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3230" w:type="dxa"/>
            <w:gridSpan w:val="2"/>
            <w:vAlign w:val="center"/>
          </w:tcPr>
          <w:p>
            <w:pPr>
              <w:pStyle w:val="16"/>
              <w:spacing w:before="112"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额定转矩</w:t>
            </w:r>
          </w:p>
        </w:tc>
        <w:tc>
          <w:tcPr>
            <w:tcW w:w="1366" w:type="dxa"/>
            <w:vAlign w:val="center"/>
          </w:tcPr>
          <w:p>
            <w:pPr>
              <w:pStyle w:val="16"/>
              <w:spacing w:before="113" w:line="242"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7"/>
              </w:rPr>
              <w:t>N</w:t>
            </w:r>
            <w:r>
              <w:rPr>
                <w:rFonts w:hint="default" w:ascii="Times New Roman" w:hAnsi="Times New Roman" w:eastAsia="仿宋_GB2312" w:cs="Times New Roman"/>
                <w:spacing w:val="81"/>
              </w:rPr>
              <w:t xml:space="preserve"> </w:t>
            </w:r>
            <w:r>
              <w:rPr>
                <w:rFonts w:hint="default" w:ascii="Times New Roman" w:hAnsi="Times New Roman" w:eastAsia="仿宋_GB2312" w:cs="Times New Roman"/>
                <w:spacing w:val="-27"/>
              </w:rPr>
              <w:t>·m</w:t>
            </w:r>
          </w:p>
        </w:tc>
        <w:tc>
          <w:tcPr>
            <w:tcW w:w="1459" w:type="dxa"/>
            <w:vAlign w:val="center"/>
          </w:tcPr>
          <w:p>
            <w:pPr>
              <w:pStyle w:val="16"/>
              <w:spacing w:before="113"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110</w:t>
            </w:r>
          </w:p>
        </w:tc>
        <w:tc>
          <w:tcPr>
            <w:tcW w:w="1335" w:type="dxa"/>
            <w:vAlign w:val="center"/>
          </w:tcPr>
          <w:p>
            <w:pPr>
              <w:pStyle w:val="16"/>
              <w:spacing w:before="113"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130</w:t>
            </w:r>
          </w:p>
        </w:tc>
        <w:tc>
          <w:tcPr>
            <w:tcW w:w="1608" w:type="dxa"/>
            <w:vAlign w:val="center"/>
          </w:tcPr>
          <w:p>
            <w:pPr>
              <w:pStyle w:val="16"/>
              <w:spacing w:before="113"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145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额定转速</w:t>
            </w:r>
          </w:p>
        </w:tc>
        <w:tc>
          <w:tcPr>
            <w:tcW w:w="1366" w:type="dxa"/>
            <w:vAlign w:val="center"/>
          </w:tcPr>
          <w:p>
            <w:pPr>
              <w:pStyle w:val="16"/>
              <w:spacing w:before="115" w:line="22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r/min</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280</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300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310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3230" w:type="dxa"/>
            <w:gridSpan w:val="2"/>
            <w:vAlign w:val="center"/>
          </w:tcPr>
          <w:p>
            <w:pPr>
              <w:pStyle w:val="16"/>
              <w:spacing w:before="112"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输出功率</w:t>
            </w:r>
          </w:p>
        </w:tc>
        <w:tc>
          <w:tcPr>
            <w:tcW w:w="1366" w:type="dxa"/>
            <w:vAlign w:val="center"/>
          </w:tcPr>
          <w:p>
            <w:pPr>
              <w:pStyle w:val="16"/>
              <w:spacing w:before="144" w:line="18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kW</w:t>
            </w:r>
          </w:p>
        </w:tc>
        <w:tc>
          <w:tcPr>
            <w:tcW w:w="1459" w:type="dxa"/>
            <w:vAlign w:val="center"/>
          </w:tcPr>
          <w:p>
            <w:pPr>
              <w:pStyle w:val="16"/>
              <w:spacing w:before="113"/>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3.2</w:t>
            </w:r>
          </w:p>
        </w:tc>
        <w:tc>
          <w:tcPr>
            <w:tcW w:w="1335" w:type="dxa"/>
            <w:vAlign w:val="center"/>
          </w:tcPr>
          <w:p>
            <w:pPr>
              <w:pStyle w:val="16"/>
              <w:spacing w:before="113"/>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4.0</w:t>
            </w:r>
          </w:p>
        </w:tc>
        <w:tc>
          <w:tcPr>
            <w:tcW w:w="1608" w:type="dxa"/>
            <w:vAlign w:val="center"/>
          </w:tcPr>
          <w:p>
            <w:pPr>
              <w:pStyle w:val="16"/>
              <w:spacing w:before="113"/>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4.7</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耗气量</w:t>
            </w:r>
          </w:p>
        </w:tc>
        <w:tc>
          <w:tcPr>
            <w:tcW w:w="1366" w:type="dxa"/>
            <w:vAlign w:val="center"/>
          </w:tcPr>
          <w:p>
            <w:pPr>
              <w:pStyle w:val="16"/>
              <w:spacing w:before="115" w:line="22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rPr>
              <w:t>m³/min</w:t>
            </w:r>
          </w:p>
        </w:tc>
        <w:tc>
          <w:tcPr>
            <w:tcW w:w="1459" w:type="dxa"/>
            <w:vAlign w:val="center"/>
          </w:tcPr>
          <w:p>
            <w:pPr>
              <w:pStyle w:val="16"/>
              <w:spacing w:before="115"/>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5.6</w:t>
            </w:r>
          </w:p>
        </w:tc>
        <w:tc>
          <w:tcPr>
            <w:tcW w:w="1335" w:type="dxa"/>
            <w:vAlign w:val="center"/>
          </w:tcPr>
          <w:p>
            <w:pPr>
              <w:pStyle w:val="16"/>
              <w:spacing w:before="115"/>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4"/>
              </w:rPr>
              <w:t>5.8</w:t>
            </w:r>
          </w:p>
        </w:tc>
        <w:tc>
          <w:tcPr>
            <w:tcW w:w="1608" w:type="dxa"/>
            <w:vAlign w:val="center"/>
          </w:tcPr>
          <w:p>
            <w:pPr>
              <w:pStyle w:val="16"/>
              <w:spacing w:before="115"/>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8.0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空载转速</w:t>
            </w:r>
          </w:p>
        </w:tc>
        <w:tc>
          <w:tcPr>
            <w:tcW w:w="1366" w:type="dxa"/>
            <w:vAlign w:val="center"/>
          </w:tcPr>
          <w:p>
            <w:pPr>
              <w:pStyle w:val="16"/>
              <w:spacing w:before="114" w:line="22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r/min</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590</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620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660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6"/>
              </w:rPr>
              <w:t>1/2</w:t>
            </w:r>
            <w:r>
              <w:rPr>
                <w:rFonts w:hint="default" w:ascii="Times New Roman" w:hAnsi="Times New Roman" w:eastAsia="仿宋_GB2312" w:cs="Times New Roman"/>
                <w:spacing w:val="19"/>
              </w:rPr>
              <w:t xml:space="preserve"> </w:t>
            </w:r>
            <w:r>
              <w:rPr>
                <w:rFonts w:hint="default" w:ascii="Times New Roman" w:hAnsi="Times New Roman" w:eastAsia="仿宋_GB2312" w:cs="Times New Roman"/>
                <w:spacing w:val="-6"/>
              </w:rPr>
              <w:t>空载转速</w:t>
            </w:r>
          </w:p>
        </w:tc>
        <w:tc>
          <w:tcPr>
            <w:tcW w:w="1366" w:type="dxa"/>
            <w:vAlign w:val="center"/>
          </w:tcPr>
          <w:p>
            <w:pPr>
              <w:pStyle w:val="16"/>
              <w:spacing w:before="115" w:line="22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r/min</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295</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310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4"/>
              </w:rPr>
              <w:t>330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4"/>
              </w:rPr>
              <w:t>1/2</w:t>
            </w:r>
            <w:r>
              <w:rPr>
                <w:rFonts w:hint="default" w:ascii="Times New Roman" w:hAnsi="Times New Roman" w:eastAsia="仿宋_GB2312" w:cs="Times New Roman"/>
                <w:spacing w:val="18"/>
              </w:rPr>
              <w:t xml:space="preserve"> </w:t>
            </w:r>
            <w:r>
              <w:rPr>
                <w:rFonts w:hint="default" w:ascii="Times New Roman" w:hAnsi="Times New Roman" w:eastAsia="仿宋_GB2312" w:cs="Times New Roman"/>
                <w:spacing w:val="-4"/>
              </w:rPr>
              <w:t>空载转速下转矩</w:t>
            </w:r>
          </w:p>
        </w:tc>
        <w:tc>
          <w:tcPr>
            <w:tcW w:w="1366" w:type="dxa"/>
            <w:vAlign w:val="center"/>
          </w:tcPr>
          <w:p>
            <w:pPr>
              <w:pStyle w:val="16"/>
              <w:spacing w:before="115" w:line="242"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7"/>
              </w:rPr>
              <w:t>N</w:t>
            </w:r>
            <w:r>
              <w:rPr>
                <w:rFonts w:hint="default" w:ascii="Times New Roman" w:hAnsi="Times New Roman" w:eastAsia="仿宋_GB2312" w:cs="Times New Roman"/>
                <w:spacing w:val="81"/>
              </w:rPr>
              <w:t xml:space="preserve"> </w:t>
            </w:r>
            <w:r>
              <w:rPr>
                <w:rFonts w:hint="default" w:ascii="Times New Roman" w:hAnsi="Times New Roman" w:eastAsia="仿宋_GB2312" w:cs="Times New Roman"/>
                <w:spacing w:val="-27"/>
              </w:rPr>
              <w:t>·m</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100</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120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135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3230" w:type="dxa"/>
            <w:gridSpan w:val="2"/>
            <w:vAlign w:val="center"/>
          </w:tcPr>
          <w:p>
            <w:pPr>
              <w:pStyle w:val="16"/>
              <w:spacing w:before="115"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动力失速转矩</w:t>
            </w:r>
          </w:p>
        </w:tc>
        <w:tc>
          <w:tcPr>
            <w:tcW w:w="1366" w:type="dxa"/>
            <w:vAlign w:val="center"/>
          </w:tcPr>
          <w:p>
            <w:pPr>
              <w:pStyle w:val="16"/>
              <w:spacing w:before="115" w:line="242"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7"/>
              </w:rPr>
              <w:t>N</w:t>
            </w:r>
            <w:r>
              <w:rPr>
                <w:rFonts w:hint="default" w:ascii="Times New Roman" w:hAnsi="Times New Roman" w:eastAsia="仿宋_GB2312" w:cs="Times New Roman"/>
                <w:spacing w:val="81"/>
              </w:rPr>
              <w:t xml:space="preserve"> </w:t>
            </w:r>
            <w:r>
              <w:rPr>
                <w:rFonts w:hint="default" w:ascii="Times New Roman" w:hAnsi="Times New Roman" w:eastAsia="仿宋_GB2312" w:cs="Times New Roman"/>
                <w:spacing w:val="-27"/>
              </w:rPr>
              <w:t>·m</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190</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2</w:t>
            </w:r>
            <w:r>
              <w:rPr>
                <w:rFonts w:hint="eastAsia" w:ascii="Times New Roman" w:hAnsi="Times New Roman" w:eastAsia="仿宋_GB2312" w:cs="Times New Roman"/>
                <w:spacing w:val="-2"/>
                <w:lang w:val="en-US" w:eastAsia="zh-CN"/>
              </w:rPr>
              <w:t>4</w:t>
            </w:r>
            <w:r>
              <w:rPr>
                <w:rFonts w:hint="default" w:ascii="Times New Roman" w:hAnsi="Times New Roman" w:eastAsia="仿宋_GB2312" w:cs="Times New Roman"/>
                <w:spacing w:val="-2"/>
              </w:rPr>
              <w:t>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270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jc w:val="center"/>
        </w:trPr>
        <w:tc>
          <w:tcPr>
            <w:tcW w:w="3230" w:type="dxa"/>
            <w:gridSpan w:val="2"/>
            <w:vAlign w:val="center"/>
          </w:tcPr>
          <w:p>
            <w:pPr>
              <w:pStyle w:val="16"/>
              <w:spacing w:before="114"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1"/>
              </w:rPr>
              <w:t>动力启动转矩</w:t>
            </w:r>
          </w:p>
        </w:tc>
        <w:tc>
          <w:tcPr>
            <w:tcW w:w="1366" w:type="dxa"/>
            <w:vAlign w:val="center"/>
          </w:tcPr>
          <w:p>
            <w:pPr>
              <w:pStyle w:val="16"/>
              <w:spacing w:before="115" w:line="242"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7"/>
              </w:rPr>
              <w:t>N</w:t>
            </w:r>
            <w:r>
              <w:rPr>
                <w:rFonts w:hint="default" w:ascii="Times New Roman" w:hAnsi="Times New Roman" w:eastAsia="仿宋_GB2312" w:cs="Times New Roman"/>
                <w:spacing w:val="81"/>
              </w:rPr>
              <w:t xml:space="preserve"> </w:t>
            </w:r>
            <w:r>
              <w:rPr>
                <w:rFonts w:hint="default" w:ascii="Times New Roman" w:hAnsi="Times New Roman" w:eastAsia="仿宋_GB2312" w:cs="Times New Roman"/>
                <w:spacing w:val="-27"/>
              </w:rPr>
              <w:t>·m</w:t>
            </w:r>
          </w:p>
        </w:tc>
        <w:tc>
          <w:tcPr>
            <w:tcW w:w="1459"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180</w:t>
            </w:r>
          </w:p>
        </w:tc>
        <w:tc>
          <w:tcPr>
            <w:tcW w:w="1335"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lang w:val="en-US" w:eastAsia="zh-CN"/>
              </w:rPr>
            </w:pPr>
            <w:r>
              <w:rPr>
                <w:rFonts w:hint="default" w:ascii="Times New Roman" w:hAnsi="Times New Roman" w:eastAsia="仿宋_GB2312" w:cs="Times New Roman"/>
                <w:spacing w:val="-2"/>
              </w:rPr>
              <w:t>2</w:t>
            </w:r>
            <w:r>
              <w:rPr>
                <w:rFonts w:hint="eastAsia" w:ascii="Times New Roman" w:hAnsi="Times New Roman" w:eastAsia="仿宋_GB2312" w:cs="Times New Roman"/>
                <w:spacing w:val="-2"/>
                <w:lang w:val="en-US" w:eastAsia="zh-CN"/>
              </w:rPr>
              <w:t>30</w:t>
            </w:r>
          </w:p>
        </w:tc>
        <w:tc>
          <w:tcPr>
            <w:tcW w:w="1608" w:type="dxa"/>
            <w:vAlign w:val="center"/>
          </w:tcPr>
          <w:p>
            <w:pPr>
              <w:pStyle w:val="16"/>
              <w:spacing w:before="115" w:line="24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260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3230" w:type="dxa"/>
            <w:gridSpan w:val="2"/>
            <w:vAlign w:val="center"/>
          </w:tcPr>
          <w:p>
            <w:pPr>
              <w:pStyle w:val="16"/>
              <w:spacing w:before="112" w:line="221" w:lineRule="auto"/>
              <w:ind w:left="0" w:leftChars="0" w:firstLine="0" w:firstLineChars="0"/>
              <w:jc w:val="center"/>
              <w:rPr>
                <w:rFonts w:hint="default" w:ascii="Times New Roman" w:hAnsi="Times New Roman" w:eastAsia="仿宋_GB2312" w:cs="Times New Roman"/>
                <w:b/>
                <w:bCs/>
                <w:color w:val="0000FF"/>
              </w:rPr>
            </w:pPr>
            <w:r>
              <w:rPr>
                <w:rFonts w:hint="default" w:ascii="Times New Roman" w:hAnsi="Times New Roman" w:eastAsia="仿宋_GB2312" w:cs="Times New Roman"/>
                <w:b/>
                <w:bCs/>
                <w:color w:val="0000FF"/>
                <w:spacing w:val="-2"/>
              </w:rPr>
              <w:t>最大负荷转矩</w:t>
            </w:r>
          </w:p>
        </w:tc>
        <w:tc>
          <w:tcPr>
            <w:tcW w:w="1366" w:type="dxa"/>
            <w:vAlign w:val="center"/>
          </w:tcPr>
          <w:p>
            <w:pPr>
              <w:pStyle w:val="16"/>
              <w:spacing w:before="113" w:line="242" w:lineRule="auto"/>
              <w:ind w:left="0" w:leftChars="0" w:firstLine="0" w:firstLineChars="0"/>
              <w:jc w:val="center"/>
              <w:rPr>
                <w:rFonts w:hint="default" w:ascii="Times New Roman" w:hAnsi="Times New Roman" w:eastAsia="仿宋_GB2312" w:cs="Times New Roman"/>
                <w:b/>
                <w:bCs/>
                <w:color w:val="0000FF"/>
              </w:rPr>
            </w:pPr>
            <w:r>
              <w:rPr>
                <w:rFonts w:hint="default" w:ascii="Times New Roman" w:hAnsi="Times New Roman" w:eastAsia="仿宋_GB2312" w:cs="Times New Roman"/>
                <w:b/>
                <w:bCs/>
                <w:color w:val="0000FF"/>
                <w:spacing w:val="-27"/>
              </w:rPr>
              <w:t>N</w:t>
            </w:r>
            <w:r>
              <w:rPr>
                <w:rFonts w:hint="default" w:ascii="Times New Roman" w:hAnsi="Times New Roman" w:eastAsia="仿宋_GB2312" w:cs="Times New Roman"/>
                <w:b/>
                <w:bCs/>
                <w:color w:val="0000FF"/>
                <w:spacing w:val="81"/>
              </w:rPr>
              <w:t xml:space="preserve"> </w:t>
            </w:r>
            <w:r>
              <w:rPr>
                <w:rFonts w:hint="default" w:ascii="Times New Roman" w:hAnsi="Times New Roman" w:eastAsia="仿宋_GB2312" w:cs="Times New Roman"/>
                <w:b/>
                <w:bCs/>
                <w:color w:val="0000FF"/>
                <w:spacing w:val="-27"/>
              </w:rPr>
              <w:t>·m</w:t>
            </w:r>
          </w:p>
        </w:tc>
        <w:tc>
          <w:tcPr>
            <w:tcW w:w="1459" w:type="dxa"/>
            <w:vAlign w:val="center"/>
          </w:tcPr>
          <w:p>
            <w:pPr>
              <w:pStyle w:val="16"/>
              <w:spacing w:before="112" w:line="241" w:lineRule="auto"/>
              <w:ind w:left="0" w:leftChars="0" w:firstLine="0" w:firstLineChars="0"/>
              <w:jc w:val="center"/>
              <w:rPr>
                <w:rFonts w:hint="default" w:ascii="Times New Roman" w:hAnsi="Times New Roman" w:eastAsia="仿宋_GB2312" w:cs="Times New Roman"/>
                <w:b/>
                <w:bCs/>
                <w:color w:val="FF0000"/>
              </w:rPr>
            </w:pPr>
            <w:r>
              <w:rPr>
                <w:rFonts w:hint="default" w:ascii="Times New Roman" w:hAnsi="Times New Roman" w:eastAsia="仿宋_GB2312" w:cs="Times New Roman"/>
                <w:b/>
                <w:bCs/>
                <w:color w:val="FF0000"/>
                <w:spacing w:val="-5"/>
              </w:rPr>
              <w:t>160</w:t>
            </w:r>
          </w:p>
        </w:tc>
        <w:tc>
          <w:tcPr>
            <w:tcW w:w="1335" w:type="dxa"/>
            <w:vAlign w:val="center"/>
          </w:tcPr>
          <w:p>
            <w:pPr>
              <w:pStyle w:val="16"/>
              <w:spacing w:before="112" w:line="241" w:lineRule="auto"/>
              <w:ind w:left="0" w:leftChars="0" w:firstLine="0" w:firstLineChars="0"/>
              <w:jc w:val="center"/>
              <w:rPr>
                <w:rFonts w:hint="default" w:ascii="Times New Roman" w:hAnsi="Times New Roman" w:eastAsia="仿宋_GB2312" w:cs="Times New Roman"/>
                <w:b/>
                <w:bCs/>
                <w:color w:val="FF0000"/>
              </w:rPr>
            </w:pPr>
            <w:r>
              <w:rPr>
                <w:rFonts w:hint="default" w:ascii="Times New Roman" w:hAnsi="Times New Roman" w:eastAsia="仿宋_GB2312" w:cs="Times New Roman"/>
                <w:b/>
                <w:bCs/>
                <w:color w:val="FF0000"/>
                <w:spacing w:val="-2"/>
              </w:rPr>
              <w:t>2</w:t>
            </w:r>
            <w:r>
              <w:rPr>
                <w:rFonts w:hint="eastAsia" w:ascii="Times New Roman" w:hAnsi="Times New Roman" w:eastAsia="仿宋_GB2312" w:cs="Times New Roman"/>
                <w:b/>
                <w:bCs/>
                <w:color w:val="FF0000"/>
                <w:spacing w:val="-2"/>
                <w:lang w:val="en-US" w:eastAsia="zh-CN"/>
              </w:rPr>
              <w:t>2</w:t>
            </w:r>
            <w:r>
              <w:rPr>
                <w:rFonts w:hint="default" w:ascii="Times New Roman" w:hAnsi="Times New Roman" w:eastAsia="仿宋_GB2312" w:cs="Times New Roman"/>
                <w:b/>
                <w:bCs/>
                <w:color w:val="FF0000"/>
                <w:spacing w:val="-2"/>
              </w:rPr>
              <w:t>0</w:t>
            </w:r>
          </w:p>
        </w:tc>
        <w:tc>
          <w:tcPr>
            <w:tcW w:w="1608" w:type="dxa"/>
            <w:vAlign w:val="center"/>
          </w:tcPr>
          <w:p>
            <w:pPr>
              <w:pStyle w:val="16"/>
              <w:spacing w:before="112" w:line="241" w:lineRule="auto"/>
              <w:ind w:left="0" w:leftChars="0" w:firstLine="0" w:firstLineChars="0"/>
              <w:jc w:val="center"/>
              <w:rPr>
                <w:rFonts w:hint="default" w:ascii="Times New Roman" w:hAnsi="Times New Roman" w:eastAsia="仿宋_GB2312" w:cs="Times New Roman"/>
                <w:b/>
                <w:bCs/>
                <w:color w:val="FF0000"/>
              </w:rPr>
            </w:pPr>
            <w:r>
              <w:rPr>
                <w:rFonts w:hint="default" w:ascii="Times New Roman" w:hAnsi="Times New Roman" w:eastAsia="仿宋_GB2312" w:cs="Times New Roman"/>
                <w:b/>
                <w:bCs/>
                <w:color w:val="FF0000"/>
                <w:spacing w:val="-2"/>
              </w:rPr>
              <w:t>240</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jc w:val="center"/>
        </w:trPr>
        <w:tc>
          <w:tcPr>
            <w:tcW w:w="1825" w:type="dxa"/>
            <w:vMerge w:val="restart"/>
            <w:tcBorders>
              <w:bottom w:val="nil"/>
            </w:tcBorders>
            <w:vAlign w:val="center"/>
          </w:tcPr>
          <w:p>
            <w:pPr>
              <w:spacing w:line="325" w:lineRule="auto"/>
              <w:jc w:val="center"/>
              <w:rPr>
                <w:rFonts w:hint="default" w:ascii="Times New Roman" w:hAnsi="Times New Roman" w:eastAsia="仿宋_GB2312" w:cs="Times New Roman"/>
                <w:sz w:val="21"/>
              </w:rPr>
            </w:pPr>
          </w:p>
          <w:p>
            <w:pPr>
              <w:spacing w:line="325" w:lineRule="auto"/>
              <w:jc w:val="center"/>
              <w:rPr>
                <w:rFonts w:hint="default" w:ascii="Times New Roman" w:hAnsi="Times New Roman" w:eastAsia="仿宋_GB2312" w:cs="Times New Roman"/>
                <w:sz w:val="21"/>
              </w:rPr>
            </w:pPr>
          </w:p>
          <w:p>
            <w:pPr>
              <w:pStyle w:val="16"/>
              <w:spacing w:before="69" w:line="221"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推进力</w:t>
            </w:r>
          </w:p>
        </w:tc>
        <w:tc>
          <w:tcPr>
            <w:tcW w:w="1405" w:type="dxa"/>
            <w:vAlign w:val="center"/>
          </w:tcPr>
          <w:p>
            <w:pPr>
              <w:pStyle w:val="16"/>
              <w:spacing w:before="116" w:line="223"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一级</w:t>
            </w:r>
          </w:p>
        </w:tc>
        <w:tc>
          <w:tcPr>
            <w:tcW w:w="1366" w:type="dxa"/>
            <w:vAlign w:val="center"/>
          </w:tcPr>
          <w:p>
            <w:pPr>
              <w:pStyle w:val="16"/>
              <w:spacing w:before="147" w:line="18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kN</w:t>
            </w:r>
          </w:p>
        </w:tc>
        <w:tc>
          <w:tcPr>
            <w:tcW w:w="1459"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7.3</w:t>
            </w:r>
          </w:p>
        </w:tc>
        <w:tc>
          <w:tcPr>
            <w:tcW w:w="1335"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9.8</w:t>
            </w:r>
          </w:p>
        </w:tc>
        <w:tc>
          <w:tcPr>
            <w:tcW w:w="1608"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5"/>
              </w:rPr>
              <w:t>10.2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jc w:val="center"/>
        </w:trPr>
        <w:tc>
          <w:tcPr>
            <w:tcW w:w="1825" w:type="dxa"/>
            <w:vMerge w:val="continue"/>
            <w:tcBorders>
              <w:top w:val="nil"/>
              <w:bottom w:val="nil"/>
            </w:tcBorders>
            <w:vAlign w:val="center"/>
          </w:tcPr>
          <w:p>
            <w:pPr>
              <w:jc w:val="center"/>
              <w:rPr>
                <w:rFonts w:hint="default" w:ascii="Times New Roman" w:hAnsi="Times New Roman" w:eastAsia="仿宋_GB2312" w:cs="Times New Roman"/>
                <w:sz w:val="21"/>
              </w:rPr>
            </w:pPr>
          </w:p>
        </w:tc>
        <w:tc>
          <w:tcPr>
            <w:tcW w:w="1405" w:type="dxa"/>
            <w:vAlign w:val="center"/>
          </w:tcPr>
          <w:p>
            <w:pPr>
              <w:pStyle w:val="16"/>
              <w:spacing w:before="116" w:line="223"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二级</w:t>
            </w:r>
          </w:p>
        </w:tc>
        <w:tc>
          <w:tcPr>
            <w:tcW w:w="1366" w:type="dxa"/>
            <w:vAlign w:val="center"/>
          </w:tcPr>
          <w:p>
            <w:pPr>
              <w:pStyle w:val="16"/>
              <w:spacing w:before="147" w:line="18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kN</w:t>
            </w:r>
          </w:p>
        </w:tc>
        <w:tc>
          <w:tcPr>
            <w:tcW w:w="1459"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5.9</w:t>
            </w:r>
          </w:p>
        </w:tc>
        <w:tc>
          <w:tcPr>
            <w:tcW w:w="1335"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9.5</w:t>
            </w:r>
          </w:p>
        </w:tc>
        <w:tc>
          <w:tcPr>
            <w:tcW w:w="1608" w:type="dxa"/>
            <w:vAlign w:val="center"/>
          </w:tcPr>
          <w:p>
            <w:pPr>
              <w:pStyle w:val="16"/>
              <w:spacing w:before="116"/>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8.9</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jc w:val="center"/>
        </w:trPr>
        <w:tc>
          <w:tcPr>
            <w:tcW w:w="1825" w:type="dxa"/>
            <w:vMerge w:val="continue"/>
            <w:tcBorders>
              <w:top w:val="nil"/>
            </w:tcBorders>
            <w:vAlign w:val="center"/>
          </w:tcPr>
          <w:p>
            <w:pPr>
              <w:jc w:val="center"/>
              <w:rPr>
                <w:rFonts w:hint="default" w:ascii="Times New Roman" w:hAnsi="Times New Roman" w:eastAsia="仿宋_GB2312" w:cs="Times New Roman"/>
                <w:sz w:val="21"/>
              </w:rPr>
            </w:pPr>
          </w:p>
        </w:tc>
        <w:tc>
          <w:tcPr>
            <w:tcW w:w="1405" w:type="dxa"/>
            <w:vAlign w:val="center"/>
          </w:tcPr>
          <w:p>
            <w:pPr>
              <w:pStyle w:val="16"/>
              <w:spacing w:before="117" w:line="223"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三级</w:t>
            </w:r>
          </w:p>
        </w:tc>
        <w:tc>
          <w:tcPr>
            <w:tcW w:w="1366" w:type="dxa"/>
            <w:vAlign w:val="center"/>
          </w:tcPr>
          <w:p>
            <w:pPr>
              <w:pStyle w:val="16"/>
              <w:spacing w:before="148" w:line="186" w:lineRule="auto"/>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kN</w:t>
            </w:r>
          </w:p>
        </w:tc>
        <w:tc>
          <w:tcPr>
            <w:tcW w:w="1459" w:type="dxa"/>
            <w:vAlign w:val="center"/>
          </w:tcPr>
          <w:p>
            <w:pPr>
              <w:pStyle w:val="16"/>
              <w:spacing w:before="117"/>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2"/>
              </w:rPr>
              <w:t>4.8</w:t>
            </w:r>
          </w:p>
        </w:tc>
        <w:tc>
          <w:tcPr>
            <w:tcW w:w="1335" w:type="dxa"/>
            <w:vAlign w:val="center"/>
          </w:tcPr>
          <w:p>
            <w:pPr>
              <w:pStyle w:val="16"/>
              <w:spacing w:before="117"/>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9.2</w:t>
            </w:r>
          </w:p>
        </w:tc>
        <w:tc>
          <w:tcPr>
            <w:tcW w:w="1608" w:type="dxa"/>
            <w:vAlign w:val="center"/>
          </w:tcPr>
          <w:p>
            <w:pPr>
              <w:pStyle w:val="16"/>
              <w:spacing w:before="117"/>
              <w:ind w:left="0" w:leftChars="0" w:firstLine="0" w:firstLineChars="0"/>
              <w:jc w:val="center"/>
              <w:rPr>
                <w:rFonts w:hint="default" w:ascii="Times New Roman" w:hAnsi="Times New Roman" w:eastAsia="仿宋_GB2312" w:cs="Times New Roman"/>
              </w:rPr>
            </w:pPr>
            <w:r>
              <w:rPr>
                <w:rFonts w:hint="default" w:ascii="Times New Roman" w:hAnsi="Times New Roman" w:eastAsia="仿宋_GB2312" w:cs="Times New Roman"/>
                <w:spacing w:val="-3"/>
              </w:rPr>
              <w:t>7.5</w:t>
            </w:r>
          </w:p>
        </w:tc>
      </w:tr>
    </w:tbl>
    <w:tbl>
      <w:tblPr>
        <w:tblStyle w:val="9"/>
        <w:tblpPr w:leftFromText="180" w:rightFromText="180" w:vertAnchor="text" w:horzAnchor="page" w:tblpX="1585" w:tblpY="34"/>
        <w:tblOverlap w:val="never"/>
        <w:tblW w:w="9000" w:type="dxa"/>
        <w:tblInd w:w="0" w:type="dxa"/>
        <w:tblLayout w:type="fixed"/>
        <w:tblCellMar>
          <w:top w:w="0" w:type="dxa"/>
          <w:left w:w="108" w:type="dxa"/>
          <w:bottom w:w="0" w:type="dxa"/>
          <w:right w:w="108" w:type="dxa"/>
        </w:tblCellMar>
      </w:tblPr>
      <w:tblGrid>
        <w:gridCol w:w="3486"/>
        <w:gridCol w:w="1367"/>
        <w:gridCol w:w="1440"/>
        <w:gridCol w:w="2707"/>
      </w:tblGrid>
      <w:tr>
        <w:tblPrEx>
          <w:tblCellMar>
            <w:top w:w="0" w:type="dxa"/>
            <w:left w:w="108" w:type="dxa"/>
            <w:bottom w:w="0" w:type="dxa"/>
            <w:right w:w="108" w:type="dxa"/>
          </w:tblCellMar>
        </w:tblPrEx>
        <w:trPr>
          <w:trHeight w:val="300" w:hRule="atLeast"/>
        </w:trPr>
        <w:tc>
          <w:tcPr>
            <w:tcW w:w="4853"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耗气量</w:t>
            </w:r>
          </w:p>
        </w:tc>
        <w:tc>
          <w:tcPr>
            <w:tcW w:w="1440"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m</w:t>
            </w:r>
            <w:r>
              <w:rPr>
                <w:rFonts w:hint="eastAsia" w:ascii="仿宋_GB2312" w:hAnsi="仿宋_GB2312" w:eastAsia="仿宋_GB2312" w:cs="仿宋_GB2312"/>
                <w:kern w:val="0"/>
                <w:sz w:val="24"/>
                <w:vertAlign w:val="superscript"/>
              </w:rPr>
              <w:t>3</w:t>
            </w:r>
            <w:r>
              <w:rPr>
                <w:rFonts w:hint="eastAsia" w:ascii="仿宋_GB2312" w:hAnsi="仿宋_GB2312" w:eastAsia="仿宋_GB2312" w:cs="仿宋_GB2312"/>
                <w:kern w:val="0"/>
                <w:sz w:val="24"/>
              </w:rPr>
              <w:t>/min</w:t>
            </w:r>
          </w:p>
        </w:tc>
        <w:tc>
          <w:tcPr>
            <w:tcW w:w="2707"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≤4.2</w:t>
            </w:r>
          </w:p>
        </w:tc>
      </w:tr>
      <w:tr>
        <w:tblPrEx>
          <w:tblCellMar>
            <w:top w:w="0" w:type="dxa"/>
            <w:left w:w="108" w:type="dxa"/>
            <w:bottom w:w="0" w:type="dxa"/>
            <w:right w:w="108" w:type="dxa"/>
          </w:tblCellMar>
        </w:tblPrEx>
        <w:trPr>
          <w:trHeight w:val="315" w:hRule="atLeast"/>
        </w:trPr>
        <w:tc>
          <w:tcPr>
            <w:tcW w:w="3486" w:type="dxa"/>
            <w:vMerge w:val="restart"/>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伸缩高度</w:t>
            </w:r>
          </w:p>
        </w:tc>
        <w:tc>
          <w:tcPr>
            <w:tcW w:w="13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最大高度</w:t>
            </w:r>
          </w:p>
        </w:tc>
        <w:tc>
          <w:tcPr>
            <w:tcW w:w="1440"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mm</w:t>
            </w:r>
          </w:p>
        </w:tc>
        <w:tc>
          <w:tcPr>
            <w:tcW w:w="2707"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≥35</w:t>
            </w:r>
            <w:r>
              <w:rPr>
                <w:rFonts w:hint="eastAsia" w:ascii="仿宋_GB2312" w:hAnsi="仿宋_GB2312" w:cs="仿宋_GB2312"/>
                <w:kern w:val="0"/>
                <w:sz w:val="24"/>
                <w:lang w:val="en-US" w:eastAsia="zh-CN"/>
              </w:rPr>
              <w:t>1</w:t>
            </w:r>
            <w:r>
              <w:rPr>
                <w:rFonts w:hint="eastAsia" w:ascii="仿宋_GB2312" w:hAnsi="仿宋_GB2312" w:eastAsia="仿宋_GB2312" w:cs="仿宋_GB2312"/>
                <w:kern w:val="0"/>
                <w:sz w:val="24"/>
              </w:rPr>
              <w:t>0±20</w:t>
            </w:r>
          </w:p>
        </w:tc>
      </w:tr>
      <w:tr>
        <w:tblPrEx>
          <w:tblCellMar>
            <w:top w:w="0" w:type="dxa"/>
            <w:left w:w="108" w:type="dxa"/>
            <w:bottom w:w="0" w:type="dxa"/>
            <w:right w:w="108" w:type="dxa"/>
          </w:tblCellMar>
        </w:tblPrEx>
        <w:trPr>
          <w:trHeight w:val="315" w:hRule="atLeast"/>
        </w:trPr>
        <w:tc>
          <w:tcPr>
            <w:tcW w:w="3486" w:type="dxa"/>
            <w:vMerge w:val="continue"/>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p>
        </w:tc>
        <w:tc>
          <w:tcPr>
            <w:tcW w:w="13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最小高度</w:t>
            </w:r>
          </w:p>
        </w:tc>
        <w:tc>
          <w:tcPr>
            <w:tcW w:w="1440"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mm</w:t>
            </w:r>
          </w:p>
        </w:tc>
        <w:tc>
          <w:tcPr>
            <w:tcW w:w="2707"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lang w:val="en-US" w:eastAsia="zh-CN"/>
              </w:rPr>
              <w:t>≤</w:t>
            </w:r>
            <w:r>
              <w:rPr>
                <w:rFonts w:hint="eastAsia" w:ascii="仿宋_GB2312" w:hAnsi="仿宋_GB2312" w:eastAsia="仿宋_GB2312" w:cs="仿宋_GB2312"/>
                <w:kern w:val="0"/>
                <w:sz w:val="24"/>
              </w:rPr>
              <w:t>1420±20</w:t>
            </w:r>
          </w:p>
        </w:tc>
      </w:tr>
      <w:tr>
        <w:tblPrEx>
          <w:tblCellMar>
            <w:top w:w="0" w:type="dxa"/>
            <w:left w:w="108" w:type="dxa"/>
            <w:bottom w:w="0" w:type="dxa"/>
            <w:right w:w="108" w:type="dxa"/>
          </w:tblCellMar>
        </w:tblPrEx>
        <w:trPr>
          <w:trHeight w:val="285" w:hRule="atLeast"/>
        </w:trPr>
        <w:tc>
          <w:tcPr>
            <w:tcW w:w="4853" w:type="dxa"/>
            <w:gridSpan w:val="2"/>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重量</w:t>
            </w:r>
          </w:p>
        </w:tc>
        <w:tc>
          <w:tcPr>
            <w:tcW w:w="1440"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kg</w:t>
            </w:r>
          </w:p>
        </w:tc>
        <w:tc>
          <w:tcPr>
            <w:tcW w:w="2707" w:type="dxa"/>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color w:val="FF0000"/>
                <w:kern w:val="0"/>
                <w:sz w:val="24"/>
              </w:rPr>
              <w:t>≤5</w:t>
            </w:r>
            <w:r>
              <w:rPr>
                <w:rFonts w:hint="eastAsia" w:ascii="仿宋_GB2312" w:hAnsi="仿宋_GB2312" w:eastAsia="仿宋_GB2312" w:cs="仿宋_GB2312"/>
                <w:color w:val="FF0000"/>
                <w:kern w:val="0"/>
                <w:sz w:val="24"/>
                <w:lang w:val="en-US" w:eastAsia="zh-CN"/>
              </w:rPr>
              <w:t>0</w:t>
            </w:r>
            <w:r>
              <w:rPr>
                <w:rFonts w:hint="eastAsia" w:ascii="仿宋_GB2312" w:hAnsi="仿宋_GB2312" w:eastAsia="仿宋_GB2312" w:cs="仿宋_GB2312"/>
                <w:color w:val="FF0000"/>
                <w:kern w:val="0"/>
                <w:sz w:val="24"/>
              </w:rPr>
              <w:t>×105%</w:t>
            </w:r>
          </w:p>
        </w:tc>
      </w:tr>
      <w:tr>
        <w:tblPrEx>
          <w:tblCellMar>
            <w:top w:w="0" w:type="dxa"/>
            <w:left w:w="108" w:type="dxa"/>
            <w:bottom w:w="0" w:type="dxa"/>
            <w:right w:w="108" w:type="dxa"/>
          </w:tblCellMar>
        </w:tblPrEx>
        <w:trPr>
          <w:trHeight w:val="285" w:hRule="atLeast"/>
        </w:trPr>
        <w:tc>
          <w:tcPr>
            <w:tcW w:w="4853" w:type="dxa"/>
            <w:gridSpan w:val="2"/>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可靠性</w:t>
            </w: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连续工作120min无异常</w:t>
            </w:r>
          </w:p>
        </w:tc>
      </w:tr>
      <w:tr>
        <w:tblPrEx>
          <w:tblCellMar>
            <w:top w:w="0" w:type="dxa"/>
            <w:left w:w="108" w:type="dxa"/>
            <w:bottom w:w="0" w:type="dxa"/>
            <w:right w:w="108" w:type="dxa"/>
          </w:tblCellMar>
        </w:tblPrEx>
        <w:trPr>
          <w:trHeight w:val="285" w:hRule="atLeast"/>
        </w:trPr>
        <w:tc>
          <w:tcPr>
            <w:tcW w:w="4853"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安全性能</w:t>
            </w: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cs="仿宋_GB2312"/>
                <w:color w:val="FF0000"/>
                <w:kern w:val="0"/>
                <w:sz w:val="24"/>
                <w:lang w:val="en-US" w:eastAsia="zh-CN"/>
              </w:rPr>
              <w:t>1</w:t>
            </w:r>
            <w:r>
              <w:rPr>
                <w:rFonts w:hint="eastAsia" w:ascii="仿宋_GB2312" w:hAnsi="仿宋_GB2312" w:eastAsia="仿宋_GB2312" w:cs="仿宋_GB2312"/>
                <w:color w:val="FF0000"/>
                <w:kern w:val="0"/>
                <w:sz w:val="24"/>
              </w:rPr>
              <w:t>Mpa</w:t>
            </w:r>
            <w:r>
              <w:rPr>
                <w:rFonts w:hint="eastAsia" w:ascii="仿宋_GB2312" w:hAnsi="仿宋_GB2312" w:eastAsia="仿宋_GB2312" w:cs="仿宋_GB2312"/>
                <w:kern w:val="0"/>
                <w:sz w:val="24"/>
              </w:rPr>
              <w:t>气压下保压3min，承压部位无异常</w:t>
            </w:r>
          </w:p>
        </w:tc>
      </w:tr>
      <w:tr>
        <w:tblPrEx>
          <w:tblCellMar>
            <w:top w:w="0" w:type="dxa"/>
            <w:left w:w="108" w:type="dxa"/>
            <w:bottom w:w="0" w:type="dxa"/>
            <w:right w:w="108" w:type="dxa"/>
          </w:tblCellMar>
        </w:tblPrEx>
        <w:trPr>
          <w:trHeight w:val="285" w:hRule="atLeast"/>
        </w:trPr>
        <w:tc>
          <w:tcPr>
            <w:tcW w:w="485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ind w:firstLine="480"/>
              <w:jc w:val="center"/>
              <w:rPr>
                <w:rFonts w:hint="eastAsia" w:ascii="仿宋_GB2312" w:hAnsi="仿宋_GB2312" w:eastAsia="仿宋_GB2312" w:cs="仿宋_GB2312"/>
                <w:kern w:val="0"/>
                <w:sz w:val="24"/>
              </w:rPr>
            </w:pP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cs="仿宋_GB2312"/>
                <w:color w:val="FF0000"/>
                <w:kern w:val="0"/>
                <w:sz w:val="24"/>
                <w:lang w:val="en-US" w:eastAsia="zh-CN"/>
              </w:rPr>
              <w:t>2</w:t>
            </w:r>
            <w:r>
              <w:rPr>
                <w:rFonts w:hint="eastAsia" w:ascii="仿宋_GB2312" w:hAnsi="仿宋_GB2312" w:eastAsia="仿宋_GB2312" w:cs="仿宋_GB2312"/>
                <w:color w:val="FF0000"/>
                <w:kern w:val="0"/>
                <w:sz w:val="24"/>
              </w:rPr>
              <w:t>MPa</w:t>
            </w:r>
            <w:r>
              <w:rPr>
                <w:rFonts w:hint="eastAsia" w:ascii="仿宋_GB2312" w:hAnsi="仿宋_GB2312" w:eastAsia="仿宋_GB2312" w:cs="仿宋_GB2312"/>
                <w:kern w:val="0"/>
                <w:sz w:val="24"/>
              </w:rPr>
              <w:t>水压下保压3min，承压部件无异常</w:t>
            </w:r>
          </w:p>
        </w:tc>
      </w:tr>
      <w:tr>
        <w:tblPrEx>
          <w:tblCellMar>
            <w:top w:w="0" w:type="dxa"/>
            <w:left w:w="108" w:type="dxa"/>
            <w:bottom w:w="0" w:type="dxa"/>
            <w:right w:w="108" w:type="dxa"/>
          </w:tblCellMar>
        </w:tblPrEx>
        <w:trPr>
          <w:trHeight w:val="285" w:hRule="atLeast"/>
        </w:trPr>
        <w:tc>
          <w:tcPr>
            <w:tcW w:w="485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ind w:firstLine="480"/>
              <w:jc w:val="center"/>
              <w:rPr>
                <w:rFonts w:hint="eastAsia" w:ascii="仿宋_GB2312" w:hAnsi="仿宋_GB2312" w:eastAsia="仿宋_GB2312" w:cs="仿宋_GB2312"/>
                <w:kern w:val="0"/>
                <w:sz w:val="24"/>
              </w:rPr>
            </w:pP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符合GB16413和MT113规定</w:t>
            </w:r>
          </w:p>
        </w:tc>
      </w:tr>
      <w:tr>
        <w:tblPrEx>
          <w:tblCellMar>
            <w:top w:w="0" w:type="dxa"/>
            <w:left w:w="108" w:type="dxa"/>
            <w:bottom w:w="0" w:type="dxa"/>
            <w:right w:w="108" w:type="dxa"/>
          </w:tblCellMar>
        </w:tblPrEx>
        <w:trPr>
          <w:trHeight w:val="285" w:hRule="atLeast"/>
        </w:trPr>
        <w:tc>
          <w:tcPr>
            <w:tcW w:w="485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ind w:firstLine="480"/>
              <w:jc w:val="center"/>
              <w:rPr>
                <w:rFonts w:hint="eastAsia" w:ascii="仿宋_GB2312" w:hAnsi="仿宋_GB2312" w:eastAsia="仿宋_GB2312" w:cs="仿宋_GB2312"/>
                <w:kern w:val="0"/>
                <w:sz w:val="24"/>
              </w:rPr>
            </w:pP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符合GB/T13813规定</w:t>
            </w:r>
          </w:p>
        </w:tc>
      </w:tr>
      <w:tr>
        <w:tblPrEx>
          <w:tblCellMar>
            <w:top w:w="0" w:type="dxa"/>
            <w:left w:w="108" w:type="dxa"/>
            <w:bottom w:w="0" w:type="dxa"/>
            <w:right w:w="108" w:type="dxa"/>
          </w:tblCellMar>
        </w:tblPrEx>
        <w:trPr>
          <w:trHeight w:val="285" w:hRule="atLeast"/>
        </w:trPr>
        <w:tc>
          <w:tcPr>
            <w:tcW w:w="4853"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ind w:left="0" w:leftChars="0" w:firstLine="0" w:firstLineChars="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密封性</w:t>
            </w: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left="0" w:leftChars="0" w:firstLine="480" w:firstLineChars="200"/>
              <w:jc w:val="left"/>
              <w:rPr>
                <w:rFonts w:hint="eastAsia" w:ascii="仿宋_GB2312" w:hAnsi="仿宋_GB2312" w:eastAsia="仿宋_GB2312" w:cs="仿宋_GB2312"/>
                <w:kern w:val="0"/>
                <w:sz w:val="24"/>
              </w:rPr>
            </w:pPr>
            <w:r>
              <w:rPr>
                <w:rFonts w:hint="eastAsia" w:ascii="仿宋_GB2312" w:hAnsi="仿宋_GB2312" w:cs="仿宋_GB2312"/>
                <w:color w:val="FF0000"/>
                <w:kern w:val="0"/>
                <w:sz w:val="24"/>
                <w:lang w:val="en-US" w:eastAsia="zh-CN"/>
              </w:rPr>
              <w:t>1</w:t>
            </w:r>
            <w:r>
              <w:rPr>
                <w:rFonts w:hint="eastAsia" w:ascii="仿宋_GB2312" w:hAnsi="仿宋_GB2312" w:eastAsia="仿宋_GB2312" w:cs="仿宋_GB2312"/>
                <w:color w:val="FF0000"/>
                <w:kern w:val="0"/>
                <w:sz w:val="24"/>
              </w:rPr>
              <w:t>MPa</w:t>
            </w:r>
            <w:r>
              <w:rPr>
                <w:rFonts w:hint="eastAsia" w:ascii="仿宋_GB2312" w:hAnsi="仿宋_GB2312" w:eastAsia="仿宋_GB2312" w:cs="仿宋_GB2312"/>
                <w:kern w:val="0"/>
                <w:sz w:val="24"/>
              </w:rPr>
              <w:t>气压下，保压3min,密封部位无渗漏</w:t>
            </w:r>
          </w:p>
        </w:tc>
      </w:tr>
      <w:tr>
        <w:tblPrEx>
          <w:tblCellMar>
            <w:top w:w="0" w:type="dxa"/>
            <w:left w:w="108" w:type="dxa"/>
            <w:bottom w:w="0" w:type="dxa"/>
            <w:right w:w="108" w:type="dxa"/>
          </w:tblCellMar>
        </w:tblPrEx>
        <w:trPr>
          <w:trHeight w:val="285" w:hRule="atLeast"/>
        </w:trPr>
        <w:tc>
          <w:tcPr>
            <w:tcW w:w="4853"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p>
        </w:tc>
        <w:tc>
          <w:tcPr>
            <w:tcW w:w="4147" w:type="dxa"/>
            <w:gridSpan w:val="2"/>
            <w:tcBorders>
              <w:top w:val="single" w:color="auto" w:sz="4" w:space="0"/>
              <w:left w:val="single" w:color="auto" w:sz="4" w:space="0"/>
              <w:bottom w:val="single" w:color="auto" w:sz="4" w:space="0"/>
              <w:right w:val="single" w:color="auto" w:sz="4" w:space="0"/>
            </w:tcBorders>
            <w:vAlign w:val="center"/>
          </w:tcPr>
          <w:p>
            <w:pPr>
              <w:widowControl/>
              <w:ind w:firstLine="480"/>
              <w:jc w:val="left"/>
              <w:rPr>
                <w:rFonts w:hint="eastAsia" w:ascii="仿宋_GB2312" w:hAnsi="仿宋_GB2312" w:eastAsia="仿宋_GB2312" w:cs="仿宋_GB2312"/>
                <w:kern w:val="0"/>
                <w:sz w:val="24"/>
              </w:rPr>
            </w:pPr>
            <w:r>
              <w:rPr>
                <w:rFonts w:hint="eastAsia" w:ascii="仿宋_GB2312" w:hAnsi="仿宋_GB2312" w:cs="仿宋_GB2312"/>
                <w:color w:val="FF0000"/>
                <w:kern w:val="0"/>
                <w:sz w:val="24"/>
                <w:lang w:val="en-US" w:eastAsia="zh-CN"/>
              </w:rPr>
              <w:t>2</w:t>
            </w:r>
            <w:r>
              <w:rPr>
                <w:rFonts w:hint="eastAsia" w:ascii="仿宋_GB2312" w:hAnsi="仿宋_GB2312" w:eastAsia="仿宋_GB2312" w:cs="仿宋_GB2312"/>
                <w:color w:val="FF0000"/>
                <w:kern w:val="0"/>
                <w:sz w:val="24"/>
              </w:rPr>
              <w:t>MPa</w:t>
            </w:r>
            <w:r>
              <w:rPr>
                <w:rFonts w:hint="eastAsia" w:ascii="仿宋_GB2312" w:hAnsi="仿宋_GB2312" w:eastAsia="仿宋_GB2312" w:cs="仿宋_GB2312"/>
                <w:kern w:val="0"/>
                <w:sz w:val="24"/>
              </w:rPr>
              <w:t>水压下，保压3min，密封部位无渗漏</w:t>
            </w:r>
          </w:p>
        </w:tc>
      </w:tr>
    </w:tbl>
    <w:p>
      <w:pPr>
        <w:rPr>
          <w:rFonts w:hint="eastAsia" w:ascii="仿宋_GB2312"/>
          <w:szCs w:val="32"/>
        </w:rPr>
      </w:pPr>
    </w:p>
    <w:p>
      <w:pPr>
        <w:ind w:firstLine="640"/>
      </w:pPr>
      <w:r>
        <w:rPr>
          <w:rFonts w:hint="eastAsia" w:ascii="仿宋_GB2312"/>
        </w:rPr>
        <w:t>1.所</w:t>
      </w:r>
      <w:r>
        <w:rPr>
          <w:rFonts w:hint="eastAsia"/>
        </w:rPr>
        <w:t>有轴承采用SKF、FAG、NSK或相当于其质量档次的产品，各轴承在装配过程中必须使用轴承专用工装。</w:t>
      </w:r>
    </w:p>
    <w:p>
      <w:pPr>
        <w:ind w:firstLine="640"/>
        <w:rPr>
          <w:highlight w:val="yellow"/>
        </w:rPr>
      </w:pPr>
      <w:r>
        <w:rPr>
          <w:rFonts w:hint="eastAsia"/>
        </w:rPr>
        <w:t>2.铝件材质、尼龙机体材质、玻璃钢支腿材质需具有第三方检测检验中心出具</w:t>
      </w:r>
      <w:r>
        <w:rPr>
          <w:rFonts w:hint="eastAsia"/>
          <w:lang w:eastAsia="zh-CN"/>
        </w:rPr>
        <w:t>有效</w:t>
      </w:r>
      <w:r>
        <w:rPr>
          <w:rFonts w:hint="eastAsia"/>
        </w:rPr>
        <w:t>的检测报告。</w:t>
      </w:r>
    </w:p>
    <w:p>
      <w:pPr>
        <w:ind w:firstLine="640"/>
      </w:pPr>
      <w:r>
        <w:rPr>
          <w:rFonts w:hint="eastAsia" w:ascii="仿宋_GB2312"/>
        </w:rPr>
        <w:t>3.马达</w:t>
      </w:r>
      <w:r>
        <w:rPr>
          <w:rFonts w:hint="eastAsia"/>
        </w:rPr>
        <w:t>齿轮、钻套材质要求选用合金渗碳钢制作</w:t>
      </w:r>
      <w:r>
        <w:rPr>
          <w:rFonts w:hint="eastAsia"/>
          <w:lang w:val="en-US" w:eastAsia="zh-CN"/>
        </w:rPr>
        <w:t>,</w:t>
      </w:r>
      <w:r>
        <w:rPr>
          <w:rFonts w:hint="eastAsia"/>
        </w:rPr>
        <w:t>马达齿轮且按照锻造工艺进行加工。</w:t>
      </w:r>
    </w:p>
    <w:p>
      <w:pPr>
        <w:ind w:firstLine="640"/>
      </w:pPr>
      <w:r>
        <w:rPr>
          <w:rFonts w:hint="eastAsia" w:ascii="仿宋_GB2312"/>
        </w:rPr>
        <w:t>4.</w:t>
      </w:r>
      <w:r>
        <w:rPr>
          <w:rFonts w:hint="eastAsia"/>
        </w:rPr>
        <w:t>投标方具备核心零部件的生产能力（如马达齿轮</w:t>
      </w:r>
      <w:r>
        <w:rPr>
          <w:rFonts w:hint="eastAsia"/>
          <w:lang w:eastAsia="zh-CN"/>
        </w:rPr>
        <w:t>、</w:t>
      </w:r>
      <w:r>
        <w:rPr>
          <w:rFonts w:hint="eastAsia"/>
        </w:rPr>
        <w:t>马达外壳、玻璃钢支腿、控制阀等）及检测能力。</w:t>
      </w:r>
    </w:p>
    <w:p>
      <w:pPr>
        <w:ind w:firstLine="640"/>
      </w:pPr>
      <w:r>
        <w:rPr>
          <w:rFonts w:hint="eastAsia" w:ascii="仿宋_GB2312"/>
        </w:rPr>
        <w:t>5.</w:t>
      </w:r>
      <w:r>
        <w:rPr>
          <w:rFonts w:hint="eastAsia"/>
        </w:rPr>
        <w:t>钻机井下经调试运行后，应能正常运转，在正常操作和维修条件下，平均无故障工作时间应不低于</w:t>
      </w:r>
      <w:r>
        <w:rPr>
          <w:rFonts w:hint="eastAsia" w:ascii="仿宋_GB2312"/>
        </w:rPr>
        <w:t>3000</w:t>
      </w:r>
      <w:r>
        <w:rPr>
          <w:rFonts w:hint="eastAsia"/>
        </w:rPr>
        <w:t>钻米。</w:t>
      </w:r>
    </w:p>
    <w:p>
      <w:pPr>
        <w:ind w:firstLine="640"/>
        <w:rPr>
          <w:rFonts w:ascii="仿宋_GB2312"/>
        </w:rPr>
      </w:pPr>
      <w:r>
        <w:rPr>
          <w:rFonts w:hint="eastAsia" w:ascii="仿宋_GB2312"/>
        </w:rPr>
        <w:t>6.马达壳体和传动箱体需采用优质铸铁一次成型工艺，无粘沙等铸造缺陷，硬度要求在220HB以上，保证每台钻机最少钻进10000米不出现损坏及开裂。</w:t>
      </w:r>
    </w:p>
    <w:p>
      <w:pPr>
        <w:ind w:firstLine="640"/>
        <w:rPr>
          <w:rFonts w:ascii="仿宋_GB2312"/>
        </w:rPr>
      </w:pPr>
      <w:r>
        <w:rPr>
          <w:rFonts w:hint="eastAsia" w:ascii="仿宋_GB2312"/>
        </w:rPr>
        <w:t>7.主轴与钻杆连接套连接后，在打钻时不能使钻杆晃动，须固定牢靠。</w:t>
      </w:r>
    </w:p>
    <w:p>
      <w:pPr>
        <w:ind w:firstLine="640"/>
        <w:rPr>
          <w:rFonts w:ascii="仿宋_GB2312"/>
        </w:rPr>
      </w:pPr>
      <w:r>
        <w:rPr>
          <w:rFonts w:hint="eastAsia" w:ascii="仿宋_GB2312"/>
        </w:rPr>
        <w:t>8.支腿必须做破坏性试验，且经多次超负荷打压试验，防止在井下炸裂，玻璃缸筒的缠绕丝带必须进行防静电试验，保证安全和气密性等性能。</w:t>
      </w:r>
    </w:p>
    <w:p>
      <w:pPr>
        <w:ind w:firstLine="640"/>
        <w:rPr>
          <w:rFonts w:ascii="仿宋_GB2312"/>
        </w:rPr>
      </w:pPr>
      <w:r>
        <w:rPr>
          <w:rFonts w:hint="eastAsia" w:ascii="仿宋_GB2312"/>
        </w:rPr>
        <w:t>9.所有的密封件必须符合国家相关标准，关键密封件采用成熟可靠产品。</w:t>
      </w:r>
    </w:p>
    <w:p>
      <w:pPr>
        <w:ind w:firstLine="640"/>
        <w:rPr>
          <w:rFonts w:ascii="仿宋_GB2312"/>
        </w:rPr>
      </w:pPr>
      <w:r>
        <w:rPr>
          <w:rFonts w:hint="eastAsia" w:ascii="仿宋_GB2312"/>
        </w:rPr>
        <w:t>10.水阀选用能适应压力不低于12MPa，以保证在井下高压力的情况下轻松打开。</w:t>
      </w:r>
    </w:p>
    <w:p>
      <w:pPr>
        <w:ind w:firstLine="640"/>
        <w:rPr>
          <w:rFonts w:ascii="仿宋_GB2312"/>
        </w:rPr>
      </w:pPr>
      <w:r>
        <w:rPr>
          <w:rFonts w:hint="eastAsia" w:ascii="仿宋_GB2312"/>
        </w:rPr>
        <w:t>11.满足淮北矿业B22钻杆配套使用。</w:t>
      </w:r>
    </w:p>
    <w:p>
      <w:pPr>
        <w:ind w:firstLine="640"/>
        <w:rPr>
          <w:rFonts w:hint="eastAsia"/>
          <w:bCs/>
        </w:rPr>
      </w:pPr>
      <w:r>
        <w:rPr>
          <w:rFonts w:hint="eastAsia"/>
          <w:bCs/>
        </w:rPr>
        <w:t>12.</w:t>
      </w:r>
      <w:r>
        <w:rPr>
          <w:bCs/>
        </w:rPr>
        <w:t>投标时投标人必须提供所投产品</w:t>
      </w:r>
      <w:r>
        <w:rPr>
          <w:rFonts w:hint="eastAsia"/>
          <w:bCs/>
        </w:rPr>
        <w:t>有效</w:t>
      </w:r>
      <w:r>
        <w:rPr>
          <w:bCs/>
        </w:rPr>
        <w:t>的第三方质量检验报告。</w:t>
      </w:r>
      <w:r>
        <w:rPr>
          <w:rFonts w:hint="eastAsia"/>
          <w:bCs/>
        </w:rPr>
        <w:t xml:space="preserve"> </w:t>
      </w:r>
    </w:p>
    <w:p>
      <w:pPr>
        <w:ind w:firstLine="640"/>
        <w:rPr>
          <w:rFonts w:ascii="黑体" w:hAnsi="Times New Roman" w:eastAsia="黑体" w:cs="黑体"/>
          <w:szCs w:val="32"/>
        </w:rPr>
      </w:pPr>
      <w:r>
        <w:rPr>
          <w:rFonts w:ascii="黑体" w:hAnsi="Times New Roman" w:eastAsia="黑体" w:cs="黑体"/>
          <w:szCs w:val="32"/>
        </w:rPr>
        <w:t>三</w:t>
      </w:r>
      <w:r>
        <w:rPr>
          <w:rFonts w:hint="eastAsia" w:ascii="黑体" w:hAnsi="Times New Roman" w:eastAsia="黑体" w:cs="黑体"/>
          <w:szCs w:val="32"/>
        </w:rPr>
        <w:t xml:space="preserve">、“三包”要求  </w:t>
      </w:r>
      <w:r>
        <w:rPr>
          <w:rFonts w:hint="eastAsia"/>
          <w:bCs/>
          <w:color w:val="FF0000"/>
        </w:rPr>
        <w:t xml:space="preserve">                            </w:t>
      </w:r>
    </w:p>
    <w:p>
      <w:pPr>
        <w:tabs>
          <w:tab w:val="left" w:pos="3270"/>
        </w:tabs>
        <w:ind w:firstLine="640"/>
        <w:rPr>
          <w:rFonts w:ascii="仿宋_GB2312" w:hAnsi="宋体" w:cs="仿宋_GB2312"/>
          <w:szCs w:val="32"/>
        </w:rPr>
      </w:pPr>
      <w:r>
        <w:rPr>
          <w:rFonts w:hint="eastAsia" w:ascii="仿宋_GB2312" w:hAnsi="宋体" w:cs="仿宋_GB2312"/>
          <w:szCs w:val="32"/>
        </w:rPr>
        <w:t>除国家另有专门规定、</w:t>
      </w:r>
      <w:r>
        <w:rPr>
          <w:rFonts w:hint="eastAsia" w:ascii="仿宋_GB2312" w:hAnsi="宋体" w:cs="仿宋_GB2312"/>
          <w:szCs w:val="32"/>
          <w:lang w:eastAsia="zh-CN"/>
        </w:rPr>
        <w:t>文件中</w:t>
      </w:r>
      <w:r>
        <w:rPr>
          <w:rFonts w:hint="eastAsia" w:ascii="仿宋_GB2312" w:hAnsi="宋体" w:cs="仿宋_GB2312"/>
          <w:szCs w:val="32"/>
        </w:rPr>
        <w:t>有特殊要求或</w:t>
      </w:r>
      <w:r>
        <w:rPr>
          <w:rFonts w:hint="eastAsia" w:ascii="仿宋_GB2312" w:hAnsi="宋体" w:cs="仿宋_GB2312"/>
          <w:szCs w:val="32"/>
          <w:lang w:eastAsia="zh-CN"/>
        </w:rPr>
        <w:t>供应商</w:t>
      </w:r>
      <w:r>
        <w:rPr>
          <w:rFonts w:hint="eastAsia" w:ascii="仿宋_GB2312" w:hAnsi="宋体" w:cs="仿宋_GB2312"/>
          <w:szCs w:val="32"/>
        </w:rPr>
        <w:t>有优惠条件外，要求使用12个月之内实行“三包”。</w:t>
      </w:r>
    </w:p>
    <w:p>
      <w:pPr>
        <w:ind w:firstLine="640"/>
        <w:rPr>
          <w:rFonts w:ascii="黑体" w:hAnsi="Times New Roman" w:eastAsia="黑体" w:cs="黑体"/>
          <w:szCs w:val="32"/>
        </w:rPr>
      </w:pPr>
      <w:r>
        <w:rPr>
          <w:rFonts w:hint="eastAsia" w:ascii="黑体" w:hAnsi="Times New Roman" w:eastAsia="黑体" w:cs="黑体"/>
          <w:szCs w:val="32"/>
        </w:rPr>
        <w:t>四、售后服务</w:t>
      </w:r>
    </w:p>
    <w:p>
      <w:pPr>
        <w:tabs>
          <w:tab w:val="left" w:pos="3270"/>
        </w:tabs>
        <w:ind w:firstLine="640"/>
        <w:rPr>
          <w:rFonts w:ascii="仿宋_GB2312" w:hAnsi="宋体" w:cs="仿宋_GB2312"/>
          <w:szCs w:val="32"/>
        </w:rPr>
      </w:pPr>
      <w:r>
        <w:rPr>
          <w:rFonts w:hint="eastAsia" w:ascii="仿宋_GB2312" w:hAnsi="宋体" w:cs="仿宋_GB2312"/>
          <w:szCs w:val="32"/>
        </w:rPr>
        <w:t>按投标书承诺及国家标准执行。</w:t>
      </w:r>
    </w:p>
    <w:p>
      <w:pPr>
        <w:ind w:firstLine="640"/>
        <w:rPr>
          <w:rFonts w:ascii="黑体" w:hAnsi="Times New Roman" w:eastAsia="黑体" w:cs="黑体"/>
          <w:szCs w:val="32"/>
        </w:rPr>
      </w:pPr>
      <w:r>
        <w:rPr>
          <w:rFonts w:hint="eastAsia" w:ascii="黑体" w:hAnsi="Times New Roman" w:eastAsia="黑体" w:cs="黑体"/>
          <w:szCs w:val="32"/>
        </w:rPr>
        <w:t>五、供货时间及地点</w:t>
      </w:r>
    </w:p>
    <w:p>
      <w:pPr>
        <w:ind w:firstLine="640"/>
      </w:pPr>
      <w:r>
        <w:rPr>
          <w:rFonts w:hint="eastAsia"/>
        </w:rPr>
        <w:t>供货时间：合同生效后30天内。</w:t>
      </w:r>
    </w:p>
    <w:p>
      <w:pPr>
        <w:ind w:firstLine="640"/>
        <w:rPr>
          <w:rFonts w:hint="eastAsia" w:ascii="黑体" w:hAnsi="Times New Roman" w:eastAsia="黑体" w:cs="黑体"/>
          <w:szCs w:val="32"/>
        </w:rPr>
      </w:pPr>
      <w:r>
        <w:rPr>
          <w:rFonts w:hint="eastAsia"/>
        </w:rPr>
        <w:t>交货地点：</w:t>
      </w:r>
      <w:r>
        <w:rPr>
          <w:rFonts w:hint="eastAsia" w:hAnsi="Times New Roman"/>
          <w:szCs w:val="21"/>
        </w:rPr>
        <w:t>淮北矿业股份有限公司物资分公司仓储配送</w:t>
      </w:r>
      <w:r>
        <w:rPr>
          <w:rFonts w:hint="eastAsia"/>
        </w:rPr>
        <w:t>中心。</w:t>
      </w:r>
    </w:p>
    <w:p>
      <w:pPr>
        <w:ind w:firstLine="640"/>
        <w:rPr>
          <w:rFonts w:hint="default" w:ascii="黑体" w:hAnsi="Times New Roman" w:eastAsia="黑体" w:cs="黑体"/>
          <w:szCs w:val="32"/>
          <w:lang w:val="en-US" w:eastAsia="zh-CN"/>
        </w:rPr>
      </w:pPr>
      <w:r>
        <w:rPr>
          <w:rFonts w:hint="eastAsia" w:ascii="黑体" w:hAnsi="Times New Roman" w:eastAsia="黑体" w:cs="黑体"/>
          <w:szCs w:val="32"/>
          <w:lang w:val="en-US" w:eastAsia="zh-CN"/>
        </w:rPr>
        <w:t>六、其他</w:t>
      </w:r>
    </w:p>
    <w:p>
      <w:pPr>
        <w:ind w:firstLine="640"/>
        <w:rPr>
          <w:rFonts w:hint="eastAsia"/>
          <w:lang w:eastAsia="zh-CN"/>
        </w:rPr>
      </w:pPr>
      <w:r>
        <w:rPr>
          <w:rFonts w:hint="eastAsia"/>
          <w:lang w:eastAsia="zh-CN"/>
        </w:rPr>
        <w:t>同意参与征集供应商需提供样品至指定矿厂试用，试用产品符合矿厂生产需求后进入下一步采购阶段。</w:t>
      </w:r>
    </w:p>
    <w:p>
      <w:pPr>
        <w:ind w:firstLine="640"/>
        <w:rPr>
          <w:rFonts w:hint="eastAsia"/>
        </w:rPr>
      </w:pPr>
      <w:bookmarkStart w:id="0" w:name="_GoBack"/>
      <w:bookmarkEnd w:id="0"/>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mZThlZTFhYjY0M2EwNTkyNDkyOGY1NzVjYjc3NzIifQ=="/>
  </w:docVars>
  <w:rsids>
    <w:rsidRoot w:val="00997D89"/>
    <w:rsid w:val="000042F7"/>
    <w:rsid w:val="00021F4A"/>
    <w:rsid w:val="000606F5"/>
    <w:rsid w:val="000B4233"/>
    <w:rsid w:val="000C3088"/>
    <w:rsid w:val="000D3513"/>
    <w:rsid w:val="00137294"/>
    <w:rsid w:val="00166A02"/>
    <w:rsid w:val="0018138B"/>
    <w:rsid w:val="0019633E"/>
    <w:rsid w:val="001B2115"/>
    <w:rsid w:val="001B34E4"/>
    <w:rsid w:val="001C6061"/>
    <w:rsid w:val="001C742B"/>
    <w:rsid w:val="001E44C1"/>
    <w:rsid w:val="001F4884"/>
    <w:rsid w:val="0022352B"/>
    <w:rsid w:val="00225667"/>
    <w:rsid w:val="00235E65"/>
    <w:rsid w:val="002410B6"/>
    <w:rsid w:val="00246A95"/>
    <w:rsid w:val="002A0BC3"/>
    <w:rsid w:val="002C310D"/>
    <w:rsid w:val="002D4D42"/>
    <w:rsid w:val="002D7F62"/>
    <w:rsid w:val="002E4CD5"/>
    <w:rsid w:val="003148A1"/>
    <w:rsid w:val="0033653F"/>
    <w:rsid w:val="00381466"/>
    <w:rsid w:val="00395014"/>
    <w:rsid w:val="00396FC2"/>
    <w:rsid w:val="003B0F86"/>
    <w:rsid w:val="003C1B87"/>
    <w:rsid w:val="003D3A37"/>
    <w:rsid w:val="003F1DB7"/>
    <w:rsid w:val="00403638"/>
    <w:rsid w:val="00405444"/>
    <w:rsid w:val="00421D59"/>
    <w:rsid w:val="00421FDC"/>
    <w:rsid w:val="00457D01"/>
    <w:rsid w:val="00467E2E"/>
    <w:rsid w:val="00470A0F"/>
    <w:rsid w:val="00480367"/>
    <w:rsid w:val="004932B8"/>
    <w:rsid w:val="004955FE"/>
    <w:rsid w:val="004A133A"/>
    <w:rsid w:val="004C2BA2"/>
    <w:rsid w:val="004C6C27"/>
    <w:rsid w:val="004D2491"/>
    <w:rsid w:val="004D42A0"/>
    <w:rsid w:val="005122EB"/>
    <w:rsid w:val="0051767B"/>
    <w:rsid w:val="0052428C"/>
    <w:rsid w:val="00537037"/>
    <w:rsid w:val="00541188"/>
    <w:rsid w:val="00553E5D"/>
    <w:rsid w:val="00555FDB"/>
    <w:rsid w:val="00571C6A"/>
    <w:rsid w:val="00574CAD"/>
    <w:rsid w:val="00576294"/>
    <w:rsid w:val="005775D7"/>
    <w:rsid w:val="005C215F"/>
    <w:rsid w:val="005C323B"/>
    <w:rsid w:val="005E3910"/>
    <w:rsid w:val="005E7B16"/>
    <w:rsid w:val="005F5E74"/>
    <w:rsid w:val="00610C34"/>
    <w:rsid w:val="00625EB7"/>
    <w:rsid w:val="006A5130"/>
    <w:rsid w:val="006C4A18"/>
    <w:rsid w:val="006F070D"/>
    <w:rsid w:val="00727696"/>
    <w:rsid w:val="00751E88"/>
    <w:rsid w:val="007D5D08"/>
    <w:rsid w:val="007D5F78"/>
    <w:rsid w:val="007D7697"/>
    <w:rsid w:val="007F31B5"/>
    <w:rsid w:val="008312F2"/>
    <w:rsid w:val="0085058F"/>
    <w:rsid w:val="00854E87"/>
    <w:rsid w:val="0087487D"/>
    <w:rsid w:val="008A14C6"/>
    <w:rsid w:val="008C44E4"/>
    <w:rsid w:val="008C6A5F"/>
    <w:rsid w:val="008F3709"/>
    <w:rsid w:val="00900ECF"/>
    <w:rsid w:val="0091098C"/>
    <w:rsid w:val="00916848"/>
    <w:rsid w:val="009306B6"/>
    <w:rsid w:val="009366A6"/>
    <w:rsid w:val="00953E3C"/>
    <w:rsid w:val="00997D89"/>
    <w:rsid w:val="009A4FDB"/>
    <w:rsid w:val="009B196A"/>
    <w:rsid w:val="009B332A"/>
    <w:rsid w:val="009B5933"/>
    <w:rsid w:val="009E01BD"/>
    <w:rsid w:val="00A27789"/>
    <w:rsid w:val="00A76128"/>
    <w:rsid w:val="00A8327E"/>
    <w:rsid w:val="00A93D93"/>
    <w:rsid w:val="00AA2C0B"/>
    <w:rsid w:val="00AB2F39"/>
    <w:rsid w:val="00AC0F4D"/>
    <w:rsid w:val="00AF6134"/>
    <w:rsid w:val="00AF627F"/>
    <w:rsid w:val="00B138AF"/>
    <w:rsid w:val="00B138CF"/>
    <w:rsid w:val="00B60E62"/>
    <w:rsid w:val="00B702F9"/>
    <w:rsid w:val="00B954CC"/>
    <w:rsid w:val="00BB5579"/>
    <w:rsid w:val="00BE6D5A"/>
    <w:rsid w:val="00C11873"/>
    <w:rsid w:val="00C26DEB"/>
    <w:rsid w:val="00C33088"/>
    <w:rsid w:val="00C57B85"/>
    <w:rsid w:val="00CD49B6"/>
    <w:rsid w:val="00D04745"/>
    <w:rsid w:val="00D463A9"/>
    <w:rsid w:val="00D57109"/>
    <w:rsid w:val="00D67A75"/>
    <w:rsid w:val="00D748F0"/>
    <w:rsid w:val="00DA261B"/>
    <w:rsid w:val="00DA6413"/>
    <w:rsid w:val="00DB2F44"/>
    <w:rsid w:val="00DC3D3C"/>
    <w:rsid w:val="00DD0C1B"/>
    <w:rsid w:val="00DF2F3E"/>
    <w:rsid w:val="00DF4665"/>
    <w:rsid w:val="00E04106"/>
    <w:rsid w:val="00E176BD"/>
    <w:rsid w:val="00E2171A"/>
    <w:rsid w:val="00E23E19"/>
    <w:rsid w:val="00E40880"/>
    <w:rsid w:val="00E747A9"/>
    <w:rsid w:val="00E83864"/>
    <w:rsid w:val="00E963EF"/>
    <w:rsid w:val="00EB439F"/>
    <w:rsid w:val="00EC72FF"/>
    <w:rsid w:val="00EF2826"/>
    <w:rsid w:val="00EF2ECB"/>
    <w:rsid w:val="00F105DE"/>
    <w:rsid w:val="00F1284E"/>
    <w:rsid w:val="00F2462C"/>
    <w:rsid w:val="00F52088"/>
    <w:rsid w:val="00F54EEB"/>
    <w:rsid w:val="00F75A16"/>
    <w:rsid w:val="00FB221C"/>
    <w:rsid w:val="00FC08B9"/>
    <w:rsid w:val="00FD7AED"/>
    <w:rsid w:val="01E95936"/>
    <w:rsid w:val="03F55A09"/>
    <w:rsid w:val="09E01491"/>
    <w:rsid w:val="0D2004E3"/>
    <w:rsid w:val="141578E5"/>
    <w:rsid w:val="18AE7D44"/>
    <w:rsid w:val="1D7C009B"/>
    <w:rsid w:val="23B1516B"/>
    <w:rsid w:val="26152F8B"/>
    <w:rsid w:val="27C35DCC"/>
    <w:rsid w:val="2C1B0D4A"/>
    <w:rsid w:val="2C25727A"/>
    <w:rsid w:val="2E8410AD"/>
    <w:rsid w:val="2EEA0481"/>
    <w:rsid w:val="35D751EC"/>
    <w:rsid w:val="36032AAE"/>
    <w:rsid w:val="36BD3325"/>
    <w:rsid w:val="373D426B"/>
    <w:rsid w:val="38842520"/>
    <w:rsid w:val="39312A45"/>
    <w:rsid w:val="39372621"/>
    <w:rsid w:val="3B7C49A3"/>
    <w:rsid w:val="3F7F0CD0"/>
    <w:rsid w:val="441049B7"/>
    <w:rsid w:val="45614FC8"/>
    <w:rsid w:val="45F0744B"/>
    <w:rsid w:val="4A623BD3"/>
    <w:rsid w:val="4A712840"/>
    <w:rsid w:val="4B125A78"/>
    <w:rsid w:val="4C673D86"/>
    <w:rsid w:val="4E202F30"/>
    <w:rsid w:val="50664121"/>
    <w:rsid w:val="5289049B"/>
    <w:rsid w:val="548047CC"/>
    <w:rsid w:val="55C2494A"/>
    <w:rsid w:val="55CA4CAE"/>
    <w:rsid w:val="560571C1"/>
    <w:rsid w:val="57DC6FD7"/>
    <w:rsid w:val="57F22E61"/>
    <w:rsid w:val="5ACB75D1"/>
    <w:rsid w:val="5CA02CCA"/>
    <w:rsid w:val="631E3B46"/>
    <w:rsid w:val="63645D77"/>
    <w:rsid w:val="67924C7A"/>
    <w:rsid w:val="6B713C59"/>
    <w:rsid w:val="6B8E2D0B"/>
    <w:rsid w:val="6C7120DB"/>
    <w:rsid w:val="6C83461C"/>
    <w:rsid w:val="6DC72505"/>
    <w:rsid w:val="6F8374A0"/>
    <w:rsid w:val="70C745CA"/>
    <w:rsid w:val="735864C5"/>
    <w:rsid w:val="76660B4B"/>
    <w:rsid w:val="77EF3BD8"/>
    <w:rsid w:val="78A12372"/>
    <w:rsid w:val="7A6D1D3E"/>
    <w:rsid w:val="7F4179A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pPr>
    <w:rPr>
      <w:rFonts w:eastAsia="仿宋_GB2312" w:asciiTheme="minorHAnsi" w:hAnsiTheme="minorHAnsi" w:cstheme="minorBidi"/>
      <w:kern w:val="2"/>
      <w:sz w:val="32"/>
      <w:szCs w:val="22"/>
      <w:lang w:val="en-US" w:eastAsia="zh-CN" w:bidi="ar-SA"/>
    </w:rPr>
  </w:style>
  <w:style w:type="paragraph" w:styleId="3">
    <w:name w:val="heading 1"/>
    <w:basedOn w:val="1"/>
    <w:next w:val="1"/>
    <w:link w:val="15"/>
    <w:qFormat/>
    <w:uiPriority w:val="9"/>
    <w:pPr>
      <w:jc w:val="center"/>
      <w:outlineLvl w:val="0"/>
    </w:pPr>
    <w:rPr>
      <w:rFonts w:eastAsia="黑体"/>
      <w:b/>
      <w:bCs/>
      <w:kern w:val="44"/>
      <w:sz w:val="36"/>
      <w:szCs w:val="44"/>
    </w:rPr>
  </w:style>
  <w:style w:type="paragraph" w:styleId="4">
    <w:name w:val="heading 2"/>
    <w:basedOn w:val="1"/>
    <w:next w:val="5"/>
    <w:link w:val="14"/>
    <w:qFormat/>
    <w:uiPriority w:val="9"/>
    <w:pPr>
      <w:kinsoku w:val="0"/>
      <w:overflowPunct w:val="0"/>
      <w:outlineLvl w:val="1"/>
    </w:pPr>
    <w:rPr>
      <w:rFonts w:ascii="黑体" w:hAnsi="Times New Roman" w:eastAsia="黑体" w:cs="Times New Roman"/>
      <w:b/>
      <w:bCs/>
      <w:szCs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黑体" w:hAnsi="Times New Roman" w:eastAsia="黑体" w:cs="Times New Roman"/>
      <w:lang w:val="en-US" w:eastAsia="zh-CN" w:bidi="ar-SA"/>
    </w:rPr>
  </w:style>
  <w:style w:type="paragraph" w:styleId="5">
    <w:name w:val="Normal Indent"/>
    <w:basedOn w:val="1"/>
    <w:next w:val="1"/>
    <w:unhideWhenUsed/>
    <w:qFormat/>
    <w:uiPriority w:val="99"/>
    <w:pPr>
      <w:adjustRightInd w:val="0"/>
      <w:ind w:firstLine="420"/>
      <w:jc w:val="left"/>
      <w:textAlignment w:val="baseline"/>
    </w:pPr>
    <w:rPr>
      <w:rFonts w:ascii="Times New Roman" w:hAnsi="Times New Roman" w:eastAsia="楷体_GB2312" w:cs="Times New Roman"/>
      <w:kern w:val="2"/>
      <w:sz w:val="24"/>
    </w:rPr>
  </w:style>
  <w:style w:type="paragraph" w:styleId="6">
    <w:name w:val="footer"/>
    <w:basedOn w:val="1"/>
    <w:link w:val="12"/>
    <w:unhideWhenUsed/>
    <w:qFormat/>
    <w:uiPriority w:val="99"/>
    <w:pPr>
      <w:tabs>
        <w:tab w:val="center" w:pos="4153"/>
        <w:tab w:val="right" w:pos="8306"/>
      </w:tabs>
      <w:snapToGrid w:val="0"/>
    </w:pPr>
    <w:rPr>
      <w:sz w:val="18"/>
      <w:szCs w:val="18"/>
    </w:rPr>
  </w:style>
  <w:style w:type="paragraph" w:styleId="7">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11">
    <w:name w:val="页眉 Char"/>
    <w:basedOn w:val="10"/>
    <w:link w:val="7"/>
    <w:qFormat/>
    <w:uiPriority w:val="99"/>
    <w:rPr>
      <w:sz w:val="18"/>
      <w:szCs w:val="18"/>
    </w:rPr>
  </w:style>
  <w:style w:type="character" w:customStyle="1" w:styleId="12">
    <w:name w:val="页脚 Char"/>
    <w:basedOn w:val="10"/>
    <w:link w:val="6"/>
    <w:qFormat/>
    <w:uiPriority w:val="99"/>
    <w:rPr>
      <w:sz w:val="18"/>
      <w:szCs w:val="18"/>
    </w:rPr>
  </w:style>
  <w:style w:type="paragraph" w:styleId="13">
    <w:name w:val="List Paragraph"/>
    <w:basedOn w:val="1"/>
    <w:qFormat/>
    <w:uiPriority w:val="34"/>
    <w:pPr>
      <w:ind w:firstLine="420"/>
    </w:pPr>
  </w:style>
  <w:style w:type="character" w:customStyle="1" w:styleId="14">
    <w:name w:val="标题 2 Char"/>
    <w:basedOn w:val="10"/>
    <w:link w:val="4"/>
    <w:qFormat/>
    <w:uiPriority w:val="9"/>
    <w:rPr>
      <w:rFonts w:ascii="黑体" w:hAnsi="Times New Roman" w:eastAsia="黑体" w:cs="Times New Roman"/>
      <w:b/>
      <w:bCs/>
      <w:sz w:val="32"/>
      <w:szCs w:val="32"/>
    </w:rPr>
  </w:style>
  <w:style w:type="character" w:customStyle="1" w:styleId="15">
    <w:name w:val="标题 1 Char"/>
    <w:basedOn w:val="10"/>
    <w:link w:val="3"/>
    <w:qFormat/>
    <w:uiPriority w:val="9"/>
    <w:rPr>
      <w:rFonts w:eastAsia="黑体"/>
      <w:b/>
      <w:bCs/>
      <w:kern w:val="44"/>
      <w:sz w:val="36"/>
      <w:szCs w:val="44"/>
    </w:rPr>
  </w:style>
  <w:style w:type="paragraph" w:customStyle="1" w:styleId="16">
    <w:name w:val="Table Text"/>
    <w:basedOn w:val="1"/>
    <w:semiHidden/>
    <w:qFormat/>
    <w:uiPriority w:val="0"/>
    <w:rPr>
      <w:rFonts w:ascii="宋体" w:hAnsi="宋体" w:eastAsia="宋体" w:cs="宋体"/>
      <w:sz w:val="21"/>
      <w:szCs w:val="21"/>
      <w:lang w:val="en-US" w:eastAsia="en-US" w:bidi="ar-SA"/>
    </w:rPr>
  </w:style>
  <w:style w:type="table" w:customStyle="1" w:styleId="1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D47A0-EEA5-4BA9-A048-5E0187A41619}">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4</Pages>
  <Words>1146</Words>
  <Characters>1348</Characters>
  <Lines>10</Lines>
  <Paragraphs>3</Paragraphs>
  <TotalTime>7</TotalTime>
  <ScaleCrop>false</ScaleCrop>
  <LinksUpToDate>false</LinksUpToDate>
  <CharactersWithSpaces>1383</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2020-04-26T01:15:00Z</dcterms:created>
  <dc:creator>胡俊超</dc:creator>
  <cp:lastModifiedBy>Administrator</cp:lastModifiedBy>
  <cp:lastPrinted>2026-05-09T02:20:00Z</cp:lastPrinted>
  <dcterms:modified xsi:type="dcterms:W3CDTF">2026-05-09T07:10:12Z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2ACD9481ED3B4B19B7516214909D8BED_13</vt:lpwstr>
  </property>
  <property fmtid="{D5CDD505-2E9C-101B-9397-08002B2CF9AE}" pid="4" name="KSOTemplateDocerSaveRecord">
    <vt:lpwstr>eyJoZGlkIjoiYTEwMmQ3YjM4NTkzY2FjNmFjNjMwNGE0YmE0NDliMDYiLCJ1c2VySWQiOiIyMzM4OTYwNDcifQ==</vt:lpwstr>
  </property>
</Properties>
</file>