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3FDF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4ECA85A">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r>
        <w:rPr>
          <w:rFonts w:ascii="Arial" w:hAnsi="Arial" w:eastAsia="等线" w:cs="Arial"/>
          <w:color w:val="000000"/>
          <w:kern w:val="0"/>
          <w:position w:val="-10"/>
          <w:szCs w:val="21"/>
          <w:highlight w:val="none"/>
        </w:rPr>
        <w:drawing>
          <wp:inline distT="0" distB="0" distL="114300" distR="114300">
            <wp:extent cx="1562100" cy="342900"/>
            <wp:effectExtent l="0" t="0" r="0" b="0"/>
            <wp:docPr id="1" name="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 2"/>
                    <pic:cNvPicPr>
                      <a:picLocks noChangeAspect="1"/>
                    </pic:cNvPicPr>
                  </pic:nvPicPr>
                  <pic:blipFill>
                    <a:blip r:embed="rId6"/>
                    <a:stretch>
                      <a:fillRect/>
                    </a:stretch>
                  </pic:blipFill>
                  <pic:spPr>
                    <a:xfrm>
                      <a:off x="0" y="0"/>
                      <a:ext cx="1562100" cy="342900"/>
                    </a:xfrm>
                    <a:prstGeom prst="rect">
                      <a:avLst/>
                    </a:prstGeom>
                    <a:noFill/>
                    <a:ln>
                      <a:noFill/>
                    </a:ln>
                  </pic:spPr>
                </pic:pic>
              </a:graphicData>
            </a:graphic>
          </wp:inline>
        </w:drawing>
      </w:r>
    </w:p>
    <w:p w14:paraId="66CAA7E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5B9A9D08">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50B335D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71E810DF">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FC7D9EE">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AB6C982">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default" w:eastAsiaTheme="minorEastAsia"/>
          <w:b/>
          <w:bCs/>
          <w:color w:val="000066"/>
          <w:spacing w:val="-4"/>
          <w:sz w:val="36"/>
          <w:szCs w:val="36"/>
          <w:highlight w:val="none"/>
          <w:lang w:val="en-US" w:eastAsia="zh-CN"/>
        </w:rPr>
      </w:pPr>
      <w:r>
        <w:rPr>
          <w:rFonts w:hint="eastAsia"/>
          <w:b/>
          <w:bCs/>
          <w:color w:val="000066"/>
          <w:spacing w:val="-4"/>
          <w:sz w:val="36"/>
          <w:szCs w:val="36"/>
          <w:highlight w:val="none"/>
        </w:rPr>
        <w:t>淮北矿业9月</w:t>
      </w:r>
      <w:r>
        <w:rPr>
          <w:rFonts w:hint="eastAsia"/>
          <w:b/>
          <w:bCs/>
          <w:color w:val="000066"/>
          <w:spacing w:val="-4"/>
          <w:sz w:val="36"/>
          <w:szCs w:val="36"/>
          <w:highlight w:val="none"/>
          <w:lang w:val="en-US" w:eastAsia="zh-CN"/>
        </w:rPr>
        <w:t>矿用防爆电磁阀</w:t>
      </w:r>
    </w:p>
    <w:p w14:paraId="7126BA57">
      <w:pPr>
        <w:keepNext w:val="0"/>
        <w:keepLines w:val="0"/>
        <w:pageBreakBefore w:val="0"/>
        <w:widowControl/>
        <w:kinsoku w:val="0"/>
        <w:wordWrap/>
        <w:overflowPunct/>
        <w:topLinePunct w:val="0"/>
        <w:autoSpaceDE w:val="0"/>
        <w:autoSpaceDN w:val="0"/>
        <w:bidi w:val="0"/>
        <w:adjustRightInd w:val="0"/>
        <w:snapToGrid w:val="0"/>
        <w:spacing w:line="560" w:lineRule="exact"/>
        <w:jc w:val="center"/>
        <w:rPr>
          <w:rFonts w:hint="default"/>
          <w:b/>
          <w:bCs/>
          <w:color w:val="000066"/>
          <w:spacing w:val="-4"/>
          <w:sz w:val="36"/>
          <w:szCs w:val="36"/>
          <w:highlight w:val="none"/>
        </w:rPr>
      </w:pPr>
      <w:r>
        <w:rPr>
          <w:rFonts w:hint="eastAsia"/>
          <w:b/>
          <w:bCs/>
          <w:color w:val="000066"/>
          <w:spacing w:val="-4"/>
          <w:sz w:val="36"/>
          <w:szCs w:val="36"/>
          <w:highlight w:val="none"/>
        </w:rPr>
        <w:t>谈判采购文件</w:t>
      </w:r>
    </w:p>
    <w:p w14:paraId="03D8663B">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0EC03012">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3183BFCC">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355DFBE1">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BFCD983">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49FCA5CA">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0BB3EEC8">
      <w:pPr>
        <w:keepNext w:val="0"/>
        <w:keepLines w:val="0"/>
        <w:pageBreakBefore w:val="0"/>
        <w:widowControl/>
        <w:kinsoku w:val="0"/>
        <w:wordWrap/>
        <w:overflowPunct/>
        <w:topLinePunct w:val="0"/>
        <w:autoSpaceDE w:val="0"/>
        <w:autoSpaceDN w:val="0"/>
        <w:bidi w:val="0"/>
        <w:adjustRightInd w:val="0"/>
        <w:snapToGrid w:val="0"/>
        <w:spacing w:line="560" w:lineRule="exact"/>
        <w:jc w:val="left"/>
        <w:rPr>
          <w:highlight w:val="none"/>
        </w:rPr>
      </w:pPr>
    </w:p>
    <w:p w14:paraId="18D814C1">
      <w:pPr>
        <w:pStyle w:val="2"/>
        <w:keepNext w:val="0"/>
        <w:keepLines w:val="0"/>
        <w:pageBreakBefore w:val="0"/>
        <w:wordWrap/>
        <w:overflowPunct/>
        <w:topLinePunct w:val="0"/>
        <w:bidi w:val="0"/>
        <w:spacing w:before="104" w:line="560" w:lineRule="exact"/>
        <w:ind w:left="3674"/>
        <w:rPr>
          <w:rFonts w:hint="default"/>
          <w:highlight w:val="none"/>
        </w:rPr>
      </w:pPr>
      <w:r>
        <w:rPr>
          <w:b/>
          <w:bCs/>
          <w:color w:val="000066"/>
          <w:spacing w:val="-5"/>
          <w:highlight w:val="none"/>
        </w:rPr>
        <w:t>二〇二</w:t>
      </w:r>
      <w:r>
        <w:rPr>
          <w:rFonts w:hint="eastAsia"/>
          <w:b/>
          <w:bCs/>
          <w:color w:val="000066"/>
          <w:spacing w:val="-5"/>
          <w:highlight w:val="none"/>
          <w:lang w:val="en-US" w:eastAsia="zh-CN"/>
        </w:rPr>
        <w:t>六</w:t>
      </w:r>
      <w:r>
        <w:rPr>
          <w:b/>
          <w:bCs/>
          <w:color w:val="000066"/>
          <w:spacing w:val="-5"/>
          <w:highlight w:val="none"/>
        </w:rPr>
        <w:t>年</w:t>
      </w:r>
      <w:r>
        <w:rPr>
          <w:rFonts w:hint="eastAsia"/>
          <w:b/>
          <w:bCs/>
          <w:color w:val="000066"/>
          <w:spacing w:val="-5"/>
          <w:highlight w:val="none"/>
          <w:lang w:val="en-US" w:eastAsia="zh-CN"/>
        </w:rPr>
        <w:t>九</w:t>
      </w:r>
      <w:r>
        <w:rPr>
          <w:b/>
          <w:bCs/>
          <w:color w:val="000066"/>
          <w:spacing w:val="-5"/>
          <w:highlight w:val="none"/>
        </w:rPr>
        <w:t>月</w:t>
      </w:r>
    </w:p>
    <w:p w14:paraId="2059EB90">
      <w:pPr>
        <w:keepNext w:val="0"/>
        <w:keepLines w:val="0"/>
        <w:pageBreakBefore w:val="0"/>
        <w:wordWrap/>
        <w:overflowPunct/>
        <w:topLinePunct w:val="0"/>
        <w:bidi w:val="0"/>
        <w:spacing w:line="560" w:lineRule="exact"/>
        <w:rPr>
          <w:rFonts w:ascii="Arial" w:hAnsi="Arial" w:eastAsia="等线" w:cs="Arial"/>
          <w:szCs w:val="21"/>
          <w:highlight w:val="none"/>
          <w:lang w:bidi="ar"/>
        </w:rPr>
        <w:sectPr>
          <w:pgSz w:w="11906" w:h="16839"/>
          <w:pgMar w:top="1190" w:right="1050" w:bottom="1" w:left="1418" w:header="1" w:footer="1" w:gutter="0"/>
          <w:cols w:space="0" w:num="1"/>
          <w:docGrid w:type="lines" w:linePitch="312" w:charSpace="0"/>
        </w:sectPr>
      </w:pPr>
    </w:p>
    <w:p w14:paraId="0237C7E5">
      <w:pPr>
        <w:pStyle w:val="2"/>
        <w:keepNext w:val="0"/>
        <w:keepLines w:val="0"/>
        <w:pageBreakBefore w:val="0"/>
        <w:wordWrap/>
        <w:overflowPunct/>
        <w:topLinePunct w:val="0"/>
        <w:bidi w:val="0"/>
        <w:spacing w:before="64" w:line="560" w:lineRule="exact"/>
        <w:jc w:val="center"/>
        <w:textAlignment w:val="auto"/>
        <w:outlineLvl w:val="0"/>
        <w:rPr>
          <w:rFonts w:hint="default"/>
          <w:b/>
          <w:bCs/>
          <w:spacing w:val="-4"/>
          <w:sz w:val="36"/>
          <w:szCs w:val="36"/>
          <w:highlight w:val="none"/>
        </w:rPr>
      </w:pPr>
      <w:r>
        <w:rPr>
          <w:b/>
          <w:bCs/>
          <w:spacing w:val="-4"/>
          <w:sz w:val="36"/>
          <w:szCs w:val="36"/>
          <w:highlight w:val="none"/>
        </w:rPr>
        <w:t>第一章 谈判采购公告</w:t>
      </w:r>
    </w:p>
    <w:p w14:paraId="4328B8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highlight w:val="none"/>
        </w:rPr>
      </w:pPr>
    </w:p>
    <w:p w14:paraId="0173AB8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一、采购条件</w:t>
      </w:r>
    </w:p>
    <w:p w14:paraId="30AE24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淮北矿业9月</w:t>
      </w:r>
      <w:r>
        <w:rPr>
          <w:rFonts w:hint="eastAsia" w:ascii="仿宋_GB2312" w:hAnsi="仿宋_GB2312" w:eastAsia="仿宋_GB2312" w:cs="仿宋_GB2312"/>
          <w:sz w:val="32"/>
          <w:szCs w:val="32"/>
          <w:highlight w:val="none"/>
          <w:lang w:eastAsia="zh-CN"/>
        </w:rPr>
        <w:t>矿用防爆电磁阀</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资金来自企业自筹。本项目已具备采购条件，现对该项目进行谈判采购。</w:t>
      </w:r>
    </w:p>
    <w:p w14:paraId="501635B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二、采购范围</w:t>
      </w:r>
    </w:p>
    <w:p w14:paraId="4D864C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详见相关询比项目明细</w:t>
      </w:r>
    </w:p>
    <w:p w14:paraId="266A6B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交货日期：</w:t>
      </w:r>
      <w:r>
        <w:rPr>
          <w:rFonts w:hint="eastAsia" w:ascii="仿宋_GB2312" w:hAnsi="仿宋_GB2312" w:eastAsia="仿宋_GB2312" w:cs="仿宋_GB2312"/>
          <w:color w:val="auto"/>
          <w:kern w:val="2"/>
          <w:sz w:val="32"/>
          <w:szCs w:val="32"/>
          <w:highlight w:val="none"/>
          <w:lang w:val="en-US" w:eastAsia="zh-CN" w:bidi="ar-SA"/>
        </w:rPr>
        <w:t>送货单开出后30天内交货。</w:t>
      </w:r>
    </w:p>
    <w:p w14:paraId="6B1678D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交货地点：</w:t>
      </w:r>
      <w:r>
        <w:rPr>
          <w:rFonts w:hint="eastAsia" w:ascii="宋体" w:hAnsi="宋体" w:eastAsia="宋体" w:cs="宋体"/>
          <w:kern w:val="2"/>
          <w:sz w:val="28"/>
          <w:szCs w:val="28"/>
          <w:lang w:val="en-US" w:eastAsia="zh-CN" w:bidi="ar-SA"/>
        </w:rPr>
        <w:t>淮北矿业股份有限公司下属各矿厂或指定地点。</w:t>
      </w:r>
    </w:p>
    <w:p w14:paraId="296E8C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三、供应商资格要求</w:t>
      </w:r>
    </w:p>
    <w:p w14:paraId="0F1137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参与谈判采购供应商</w:t>
      </w:r>
      <w:r>
        <w:rPr>
          <w:rFonts w:hint="eastAsia" w:ascii="仿宋_GB2312" w:hAnsi="仿宋_GB2312" w:eastAsia="仿宋_GB2312" w:cs="仿宋_GB2312"/>
          <w:sz w:val="32"/>
          <w:szCs w:val="32"/>
          <w:highlight w:val="none"/>
        </w:rPr>
        <w:t>应具备承担本</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rPr>
        <w:t>项目资质条件、能力和信誉。资格要求包括以下内容:</w:t>
      </w:r>
    </w:p>
    <w:p w14:paraId="269C10B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1.</w:t>
      </w:r>
      <w:r>
        <w:rPr>
          <w:rFonts w:hint="default" w:ascii="Times New Roman" w:hAnsi="Times New Roman" w:eastAsia="宋体" w:cs="Times New Roman"/>
          <w:b w:val="0"/>
          <w:bCs w:val="0"/>
          <w:sz w:val="28"/>
          <w:szCs w:val="28"/>
        </w:rPr>
        <w:t>资质要求：</w:t>
      </w:r>
      <w:r>
        <w:rPr>
          <w:rFonts w:hint="default" w:ascii="Times New Roman" w:hAnsi="Times New Roman" w:eastAsia="宋体" w:cs="Times New Roman"/>
          <w:b w:val="0"/>
          <w:bCs w:val="0"/>
          <w:sz w:val="28"/>
          <w:szCs w:val="28"/>
          <w:lang w:val="en-US" w:eastAsia="zh-CN"/>
        </w:rPr>
        <w:t>必须是生产制造商。具有能够满足技术性能要求的矿用产品安全标志证书</w:t>
      </w:r>
      <w:r>
        <w:rPr>
          <w:rFonts w:hint="eastAsia" w:ascii="Times New Roman" w:hAnsi="Times New Roman" w:eastAsia="宋体" w:cs="Times New Roman"/>
          <w:b w:val="0"/>
          <w:bCs w:val="0"/>
          <w:sz w:val="28"/>
          <w:szCs w:val="28"/>
          <w:lang w:val="en-US" w:eastAsia="zh-CN"/>
        </w:rPr>
        <w:t>（如需）</w:t>
      </w:r>
      <w:r>
        <w:rPr>
          <w:rFonts w:hint="default" w:ascii="Times New Roman" w:hAnsi="Times New Roman" w:eastAsia="宋体" w:cs="Times New Roman"/>
          <w:b w:val="0"/>
          <w:bCs w:val="0"/>
          <w:sz w:val="28"/>
          <w:szCs w:val="28"/>
          <w:lang w:val="en-US" w:eastAsia="zh-CN"/>
        </w:rPr>
        <w:t>。中华人民共和国境内依法注册，具有独立法人资格。</w:t>
      </w:r>
    </w:p>
    <w:p w14:paraId="7B19662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业绩要求：</w:t>
      </w:r>
      <w:r>
        <w:rPr>
          <w:rFonts w:hint="eastAsia" w:ascii="Times New Roman" w:hAnsi="Times New Roman" w:eastAsia="宋体" w:cs="Times New Roman"/>
          <w:b w:val="0"/>
          <w:bCs w:val="0"/>
          <w:sz w:val="28"/>
          <w:szCs w:val="28"/>
          <w:lang w:val="en-US" w:eastAsia="zh-CN"/>
        </w:rPr>
        <w:t>报名供应商需提供同类物资2023年1月1日至报名截止日（以合同签订时间为准）的本公司销售业绩（有效业绩证明材料提供要求：（1）合同扫描件，包含合同买卖双方盖章页、合同签订日期、物资名称型号等信息；（2）能证明本次采购业绩要求合同对应的任一张增值税专用发票扫描件，包含发票代码、发票号码、开票日期、不含税金额等信息。发票清晰可辨且需与国家税务总局全国增值税发票查验平台查验结果一致。（3）合同及发票等材料缺少、模糊不清、故意遮挡有效信息及难以辨认的，按无效认定。</w:t>
      </w:r>
    </w:p>
    <w:p w14:paraId="328889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信誉要求：企业当期未被列入淮北矿业（集团）有限责任公司“停用、禁用名单”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“黑名单”。</w:t>
      </w:r>
    </w:p>
    <w:p w14:paraId="62B103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不接受联合体投标。</w:t>
      </w:r>
    </w:p>
    <w:p w14:paraId="3543FDF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须知规定的其他条件。</w:t>
      </w:r>
    </w:p>
    <w:p w14:paraId="0D715F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四、采购文件的获取</w:t>
      </w:r>
    </w:p>
    <w:p w14:paraId="1384332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本项目与宿州科力电器有限公司</w:t>
      </w:r>
      <w:r>
        <w:rPr>
          <w:rFonts w:hint="eastAsia" w:ascii="仿宋_GB2312" w:hAnsi="仿宋_GB2312" w:eastAsia="仿宋_GB2312" w:cs="仿宋_GB2312"/>
          <w:sz w:val="32"/>
          <w:szCs w:val="32"/>
          <w:highlight w:val="none"/>
          <w:lang w:val="en-US" w:eastAsia="zh-CN"/>
        </w:rPr>
        <w:t>和</w:t>
      </w:r>
      <w:r>
        <w:rPr>
          <w:rFonts w:hint="eastAsia" w:ascii="仿宋_GB2312" w:hAnsi="仿宋_GB2312" w:eastAsia="仿宋_GB2312" w:cs="仿宋_GB2312"/>
          <w:sz w:val="32"/>
          <w:szCs w:val="32"/>
          <w:highlight w:val="none"/>
        </w:rPr>
        <w:t>淮南市润金工矿机电有限公司进行谈判采购，受邀供应商应在淮北矿业电子商务采购平台下载采购文件。</w:t>
      </w:r>
    </w:p>
    <w:p w14:paraId="6AC6B7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五、递交文件的截止时间、方式</w:t>
      </w:r>
    </w:p>
    <w:p w14:paraId="7084D0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本项目采用密封线下递交纸质响应文件（含U盘存储的电子文本）的方式。</w:t>
      </w:r>
    </w:p>
    <w:p w14:paraId="18877F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响应文件递交的截止时间为</w:t>
      </w:r>
      <w:r>
        <w:rPr>
          <w:rFonts w:hint="eastAsia" w:ascii="仿宋_GB2312" w:hAnsi="仿宋_GB2312" w:eastAsia="仿宋_GB2312" w:cs="仿宋_GB2312"/>
          <w:color w:val="auto"/>
          <w:sz w:val="32"/>
          <w:szCs w:val="32"/>
          <w:highlight w:val="none"/>
        </w:rPr>
        <w:t>202</w:t>
      </w:r>
      <w:r>
        <w:rPr>
          <w:rFonts w:hint="eastAsia" w:ascii="仿宋_GB2312" w:hAnsi="仿宋_GB2312" w:eastAsia="仿宋_GB2312" w:cs="仿宋_GB2312"/>
          <w:color w:val="auto"/>
          <w:sz w:val="32"/>
          <w:szCs w:val="32"/>
          <w:highlight w:val="none"/>
          <w:lang w:val="en-US" w:eastAsia="zh-CN"/>
        </w:rPr>
        <w:t>6</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lang w:val="en-US" w:eastAsia="zh-CN"/>
        </w:rPr>
        <w:t>9</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lang w:val="en-US" w:eastAsia="zh-CN"/>
        </w:rPr>
        <w:t>28</w:t>
      </w:r>
      <w:r>
        <w:rPr>
          <w:rFonts w:hint="eastAsia" w:ascii="仿宋_GB2312" w:hAnsi="仿宋_GB2312" w:eastAsia="仿宋_GB2312" w:cs="仿宋_GB2312"/>
          <w:color w:val="auto"/>
          <w:sz w:val="32"/>
          <w:szCs w:val="32"/>
          <w:highlight w:val="none"/>
        </w:rPr>
        <w:t>日</w:t>
      </w:r>
      <w:r>
        <w:rPr>
          <w:rFonts w:hint="eastAsia" w:ascii="仿宋_GB2312" w:hAnsi="仿宋_GB2312" w:eastAsia="仿宋_GB2312" w:cs="仿宋_GB2312"/>
          <w:color w:val="auto"/>
          <w:sz w:val="32"/>
          <w:szCs w:val="32"/>
          <w:highlight w:val="none"/>
          <w:lang w:val="en-US" w:eastAsia="zh-CN"/>
        </w:rPr>
        <w:t>17</w:t>
      </w:r>
      <w:bookmarkStart w:id="0" w:name="_GoBack"/>
      <w:bookmarkEnd w:id="0"/>
      <w:r>
        <w:rPr>
          <w:rFonts w:hint="eastAsia" w:ascii="仿宋_GB2312" w:hAnsi="仿宋_GB2312" w:eastAsia="仿宋_GB2312" w:cs="仿宋_GB2312"/>
          <w:color w:val="auto"/>
          <w:sz w:val="32"/>
          <w:szCs w:val="32"/>
          <w:highlight w:val="none"/>
        </w:rPr>
        <w:t>时</w:t>
      </w:r>
      <w:r>
        <w:rPr>
          <w:rFonts w:hint="eastAsia" w:ascii="仿宋_GB2312" w:hAnsi="仿宋_GB2312" w:eastAsia="仿宋_GB2312" w:cs="仿宋_GB2312"/>
          <w:color w:val="auto"/>
          <w:sz w:val="32"/>
          <w:szCs w:val="32"/>
          <w:highlight w:val="none"/>
          <w:lang w:val="en-US" w:eastAsia="zh-CN"/>
        </w:rPr>
        <w:t>00</w:t>
      </w:r>
      <w:r>
        <w:rPr>
          <w:rFonts w:hint="eastAsia" w:ascii="仿宋_GB2312" w:hAnsi="仿宋_GB2312" w:eastAsia="仿宋_GB2312" w:cs="仿宋_GB2312"/>
          <w:color w:val="auto"/>
          <w:sz w:val="32"/>
          <w:szCs w:val="32"/>
          <w:highlight w:val="none"/>
        </w:rPr>
        <w:t>分</w:t>
      </w:r>
      <w:r>
        <w:rPr>
          <w:rFonts w:hint="eastAsia" w:ascii="仿宋_GB2312" w:hAnsi="仿宋_GB2312" w:eastAsia="仿宋_GB2312" w:cs="仿宋_GB2312"/>
          <w:sz w:val="32"/>
          <w:szCs w:val="32"/>
          <w:highlight w:val="none"/>
        </w:rPr>
        <w:t>。</w:t>
      </w:r>
    </w:p>
    <w:p w14:paraId="69E50C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逾期送达的或者未密封的线下纸质响应文件，采购人将予以拒收。</w:t>
      </w:r>
    </w:p>
    <w:p w14:paraId="3F750B5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六、发布公告的媒介</w:t>
      </w:r>
    </w:p>
    <w:p w14:paraId="32B53F3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本次采购公告在淮北矿业电子商务采购平台（https://ztb.hbcoal.com）上发布。</w:t>
      </w:r>
    </w:p>
    <w:p w14:paraId="6D03F0A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七、联系方式</w:t>
      </w:r>
    </w:p>
    <w:p w14:paraId="574EA3B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采购人：淮北矿业股份有限公司</w:t>
      </w:r>
    </w:p>
    <w:p w14:paraId="7003F14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联系人：</w:t>
      </w:r>
      <w:r>
        <w:rPr>
          <w:rFonts w:hint="eastAsia" w:ascii="仿宋_GB2312" w:hAnsi="仿宋_GB2312" w:eastAsia="仿宋_GB2312" w:cs="仿宋_GB2312"/>
          <w:sz w:val="32"/>
          <w:szCs w:val="32"/>
          <w:highlight w:val="none"/>
          <w:lang w:val="en-US" w:eastAsia="zh-CN"/>
        </w:rPr>
        <w:t>米先生</w:t>
      </w:r>
    </w:p>
    <w:p w14:paraId="251035E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电话：0561-</w:t>
      </w:r>
      <w:r>
        <w:rPr>
          <w:rFonts w:hint="eastAsia" w:ascii="仿宋_GB2312" w:hAnsi="仿宋_GB2312" w:eastAsia="仿宋_GB2312" w:cs="仿宋_GB2312"/>
          <w:sz w:val="32"/>
          <w:szCs w:val="32"/>
          <w:highlight w:val="none"/>
          <w:lang w:val="en-US" w:eastAsia="zh-CN"/>
        </w:rPr>
        <w:t>4958079</w:t>
      </w:r>
    </w:p>
    <w:p w14:paraId="6549CB9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b/>
          <w:bCs/>
          <w:spacing w:val="-4"/>
          <w:sz w:val="36"/>
          <w:szCs w:val="36"/>
          <w:highlight w:val="none"/>
        </w:rPr>
      </w:pPr>
      <w:r>
        <w:rPr>
          <w:rFonts w:hint="eastAsia" w:ascii="仿宋_GB2312" w:hAnsi="仿宋_GB2312" w:eastAsia="仿宋_GB2312" w:cs="仿宋_GB2312"/>
          <w:sz w:val="32"/>
          <w:szCs w:val="32"/>
          <w:highlight w:val="none"/>
        </w:rPr>
        <w:t>地址：安徽省淮北市相山区人民中路276号</w:t>
      </w:r>
    </w:p>
    <w:p w14:paraId="33584D85">
      <w:pPr>
        <w:keepNext w:val="0"/>
        <w:keepLines w:val="0"/>
        <w:pageBreakBefore w:val="0"/>
        <w:wordWrap/>
        <w:overflowPunct/>
        <w:topLinePunct w:val="0"/>
        <w:bidi w:val="0"/>
        <w:spacing w:line="560" w:lineRule="exact"/>
        <w:textAlignment w:val="auto"/>
        <w:rPr>
          <w:rFonts w:ascii="仿宋_GB2312" w:hAnsi="仿宋_GB2312" w:eastAsia="仿宋_GB2312" w:cs="仿宋_GB2312"/>
          <w:sz w:val="32"/>
          <w:szCs w:val="32"/>
          <w:highlight w:val="none"/>
        </w:rPr>
      </w:pPr>
    </w:p>
    <w:p w14:paraId="3716E7FE">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5F18FCBE">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0054A2F3">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7E75B2D7">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13659F76">
      <w:pPr>
        <w:keepNext w:val="0"/>
        <w:keepLines w:val="0"/>
        <w:pageBreakBefore w:val="0"/>
        <w:wordWrap/>
        <w:overflowPunct/>
        <w:topLinePunct w:val="0"/>
        <w:bidi w:val="0"/>
        <w:spacing w:line="560" w:lineRule="exact"/>
        <w:jc w:val="center"/>
        <w:textAlignment w:val="auto"/>
        <w:rPr>
          <w:rFonts w:hint="eastAsia" w:ascii="宋体" w:hAnsi="宋体" w:eastAsia="宋体" w:cs="宋体"/>
          <w:b/>
          <w:bCs/>
          <w:sz w:val="36"/>
          <w:szCs w:val="36"/>
          <w:highlight w:val="none"/>
        </w:rPr>
      </w:pPr>
    </w:p>
    <w:p w14:paraId="2D86DDB0">
      <w:pPr>
        <w:keepNext w:val="0"/>
        <w:keepLines w:val="0"/>
        <w:pageBreakBefore w:val="0"/>
        <w:wordWrap/>
        <w:overflowPunct/>
        <w:topLinePunct w:val="0"/>
        <w:bidi w:val="0"/>
        <w:spacing w:line="560" w:lineRule="exact"/>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第二章 供应商须知</w:t>
      </w:r>
    </w:p>
    <w:p w14:paraId="0D2543C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p>
    <w:p w14:paraId="52096302">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一、项目概况</w:t>
      </w:r>
    </w:p>
    <w:p w14:paraId="6AFF91E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本采购项目已列入淮北矿业股份有限公司计划中，资金渠道已落实。</w:t>
      </w:r>
    </w:p>
    <w:p w14:paraId="6A8FE315">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二、供应商须知</w:t>
      </w:r>
    </w:p>
    <w:p w14:paraId="660F8CA6">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(一)一般事项</w:t>
      </w:r>
    </w:p>
    <w:p w14:paraId="5C398B4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应遵守国家有关法律法规及条例，认真阅读</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文件，按照</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文件要求，对</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文件作出实质性响应，否则</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的</w:t>
      </w:r>
      <w:r>
        <w:rPr>
          <w:rFonts w:hint="eastAsia" w:ascii="仿宋_GB2312" w:hAnsi="仿宋_GB2312" w:eastAsia="仿宋_GB2312" w:cs="仿宋_GB2312"/>
          <w:sz w:val="32"/>
          <w:szCs w:val="32"/>
          <w:highlight w:val="none"/>
          <w:lang w:val="en-US" w:eastAsia="zh-CN"/>
        </w:rPr>
        <w:t>参与资格</w:t>
      </w:r>
      <w:r>
        <w:rPr>
          <w:rFonts w:hint="eastAsia" w:ascii="仿宋_GB2312" w:hAnsi="仿宋_GB2312" w:eastAsia="仿宋_GB2312" w:cs="仿宋_GB2312"/>
          <w:sz w:val="32"/>
          <w:szCs w:val="32"/>
          <w:highlight w:val="none"/>
        </w:rPr>
        <w:t>将被否决。</w:t>
      </w:r>
    </w:p>
    <w:p w14:paraId="38F43615">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2.本次</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物资为</w:t>
      </w:r>
      <w:r>
        <w:rPr>
          <w:rFonts w:hint="eastAsia" w:ascii="仿宋_GB2312" w:hAnsi="仿宋_GB2312" w:eastAsia="仿宋_GB2312" w:cs="仿宋_GB2312"/>
          <w:sz w:val="32"/>
          <w:szCs w:val="32"/>
          <w:highlight w:val="none"/>
          <w:lang w:val="en-US" w:eastAsia="zh-CN"/>
        </w:rPr>
        <w:t>框架</w:t>
      </w:r>
      <w:r>
        <w:rPr>
          <w:rFonts w:hint="eastAsia" w:ascii="仿宋_GB2312" w:hAnsi="仿宋_GB2312" w:eastAsia="仿宋_GB2312" w:cs="仿宋_GB2312"/>
          <w:sz w:val="32"/>
          <w:szCs w:val="32"/>
          <w:highlight w:val="none"/>
        </w:rPr>
        <w:t>采购，</w:t>
      </w:r>
      <w:r>
        <w:rPr>
          <w:rFonts w:hint="eastAsia" w:ascii="仿宋_GB2312" w:hAnsi="仿宋_GB2312" w:eastAsia="仿宋_GB2312" w:cs="仿宋_GB2312"/>
          <w:sz w:val="32"/>
          <w:szCs w:val="32"/>
          <w:highlight w:val="none"/>
          <w:lang w:val="en-US" w:eastAsia="zh-CN"/>
        </w:rPr>
        <w:t>价格有效期为360天，</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报价时应充分考虑市场因素带来的价格变化风险，合理进行报价，并需在中</w:t>
      </w:r>
      <w:r>
        <w:rPr>
          <w:rFonts w:hint="eastAsia" w:ascii="仿宋_GB2312" w:hAnsi="仿宋_GB2312" w:eastAsia="仿宋_GB2312" w:cs="仿宋_GB2312"/>
          <w:sz w:val="32"/>
          <w:szCs w:val="32"/>
          <w:highlight w:val="none"/>
          <w:lang w:val="en-US" w:eastAsia="zh-CN"/>
        </w:rPr>
        <w:t>选</w:t>
      </w:r>
      <w:r>
        <w:rPr>
          <w:rFonts w:hint="eastAsia" w:ascii="仿宋_GB2312" w:hAnsi="仿宋_GB2312" w:eastAsia="仿宋_GB2312" w:cs="仿宋_GB2312"/>
          <w:sz w:val="32"/>
          <w:szCs w:val="32"/>
          <w:highlight w:val="none"/>
        </w:rPr>
        <w:t>后承担相应履约责任。</w:t>
      </w:r>
    </w:p>
    <w:p w14:paraId="1E002DD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不得存在下列情形之一：</w:t>
      </w:r>
    </w:p>
    <w:p w14:paraId="576F55FA">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（1）与</w:t>
      </w:r>
      <w:r>
        <w:rPr>
          <w:rFonts w:hint="eastAsia" w:ascii="仿宋_GB2312" w:hAnsi="仿宋_GB2312" w:eastAsia="仿宋_GB2312" w:cs="仿宋_GB2312"/>
          <w:sz w:val="32"/>
          <w:szCs w:val="32"/>
          <w:highlight w:val="none"/>
          <w:lang w:eastAsia="zh-CN"/>
        </w:rPr>
        <w:t>采购人</w:t>
      </w:r>
      <w:r>
        <w:rPr>
          <w:rFonts w:hint="eastAsia" w:ascii="仿宋_GB2312" w:hAnsi="仿宋_GB2312" w:eastAsia="仿宋_GB2312" w:cs="仿宋_GB2312"/>
          <w:sz w:val="32"/>
          <w:szCs w:val="32"/>
          <w:highlight w:val="none"/>
        </w:rPr>
        <w:t>存在利害关系且可能影响</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公正性。</w:t>
      </w:r>
    </w:p>
    <w:p w14:paraId="4C853ECB">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（2）与本</w:t>
      </w:r>
      <w:r>
        <w:rPr>
          <w:rFonts w:hint="eastAsia" w:ascii="仿宋_GB2312" w:hAnsi="仿宋_GB2312" w:eastAsia="仿宋_GB2312" w:cs="仿宋_GB2312"/>
          <w:sz w:val="32"/>
          <w:szCs w:val="32"/>
          <w:highlight w:val="none"/>
          <w:lang w:val="en-US" w:eastAsia="zh-CN"/>
        </w:rPr>
        <w:t>次谈判采购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为同一个单位负责人（</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营业执照中的法定代表人或单位负责人）。</w:t>
      </w:r>
    </w:p>
    <w:p w14:paraId="210B1CC8">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（3）与本</w:t>
      </w:r>
      <w:r>
        <w:rPr>
          <w:rFonts w:hint="eastAsia" w:ascii="仿宋_GB2312" w:hAnsi="仿宋_GB2312" w:eastAsia="仿宋_GB2312" w:cs="仿宋_GB2312"/>
          <w:sz w:val="32"/>
          <w:szCs w:val="32"/>
          <w:highlight w:val="none"/>
          <w:lang w:val="en-US" w:eastAsia="zh-CN"/>
        </w:rPr>
        <w:t>次谈判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项目的其他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存在控股、管理关系。</w:t>
      </w:r>
    </w:p>
    <w:p w14:paraId="4A315EC4">
      <w:pPr>
        <w:pStyle w:val="2"/>
        <w:keepNext w:val="0"/>
        <w:keepLines w:val="0"/>
        <w:pageBreakBefore w:val="0"/>
        <w:wordWrap/>
        <w:overflowPunct/>
        <w:topLinePunct w:val="0"/>
        <w:bidi w:val="0"/>
        <w:spacing w:line="560" w:lineRule="exact"/>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 xml:space="preserve">    （4）与本次谈判项目其他供应商代理同一个制造商同一品牌同一型号的材料响应。</w:t>
      </w:r>
    </w:p>
    <w:p w14:paraId="6FDC48D7">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）为本</w:t>
      </w:r>
      <w:r>
        <w:rPr>
          <w:rFonts w:hint="eastAsia" w:ascii="仿宋_GB2312" w:hAnsi="仿宋_GB2312" w:eastAsia="仿宋_GB2312" w:cs="仿宋_GB2312"/>
          <w:sz w:val="32"/>
          <w:szCs w:val="32"/>
          <w:highlight w:val="none"/>
          <w:lang w:val="en-US" w:eastAsia="zh-CN"/>
        </w:rPr>
        <w:t>次谈判</w:t>
      </w:r>
      <w:r>
        <w:rPr>
          <w:rFonts w:hint="eastAsia" w:ascii="仿宋_GB2312" w:hAnsi="仿宋_GB2312" w:eastAsia="仿宋_GB2312" w:cs="仿宋_GB2312"/>
          <w:sz w:val="32"/>
          <w:szCs w:val="32"/>
          <w:highlight w:val="none"/>
          <w:lang w:eastAsia="zh-CN"/>
        </w:rPr>
        <w:t>采购</w:t>
      </w:r>
      <w:r>
        <w:rPr>
          <w:rFonts w:hint="eastAsia" w:ascii="仿宋_GB2312" w:hAnsi="仿宋_GB2312" w:eastAsia="仿宋_GB2312" w:cs="仿宋_GB2312"/>
          <w:sz w:val="32"/>
          <w:szCs w:val="32"/>
          <w:highlight w:val="none"/>
        </w:rPr>
        <w:t>项目提供过设计、编制技术规范和其他文件的咨询服务。</w:t>
      </w:r>
    </w:p>
    <w:p w14:paraId="4CE48996">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）被依法暂停或者取消投标资格。</w:t>
      </w:r>
    </w:p>
    <w:p w14:paraId="31BD3864">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）被责令停产停业、暂扣或者吊销许可证、暂扣或者吊销执照。</w:t>
      </w:r>
    </w:p>
    <w:p w14:paraId="6EA4581B">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）进入清算程序，或被宣告破产，或其他丧失履约能力的情形。</w:t>
      </w:r>
    </w:p>
    <w:p w14:paraId="53B74CD0">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）2023年1月1日以来发生重大产品质量问题（以相关行业主管部门的行政处罚决定或司法机关出具的有关法律文书为准）。</w:t>
      </w:r>
    </w:p>
    <w:p w14:paraId="7465BC44">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）被工商行政管理机关在全国企业信用信息公示系统中列入严重违法失信企业名单。</w:t>
      </w:r>
    </w:p>
    <w:p w14:paraId="7B34DE23">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）企业及法定代表人当期不得在“中国执行信息公开网”“国家企业信用信息公示系统”“信用中国”上被列入经营异常</w:t>
      </w:r>
      <w:r>
        <w:rPr>
          <w:rFonts w:hint="eastAsia" w:ascii="仿宋_GB2312" w:hAnsi="仿宋_GB2312" w:eastAsia="仿宋_GB2312" w:cs="仿宋_GB2312"/>
          <w:sz w:val="32"/>
          <w:szCs w:val="32"/>
          <w:highlight w:val="none"/>
          <w:lang w:val="en-US" w:eastAsia="zh-CN"/>
        </w:rPr>
        <w:t>名</w:t>
      </w:r>
      <w:r>
        <w:rPr>
          <w:rFonts w:hint="eastAsia" w:ascii="仿宋_GB2312" w:hAnsi="仿宋_GB2312" w:eastAsia="仿宋_GB2312" w:cs="仿宋_GB2312"/>
          <w:sz w:val="32"/>
          <w:szCs w:val="32"/>
          <w:highlight w:val="none"/>
        </w:rPr>
        <w:t>录或失信被执行人名单。</w:t>
      </w:r>
    </w:p>
    <w:p w14:paraId="30401066">
      <w:pPr>
        <w:pStyle w:val="2"/>
        <w:keepNext w:val="0"/>
        <w:keepLines w:val="0"/>
        <w:pageBreakBefore w:val="0"/>
        <w:wordWrap/>
        <w:overflowPunct/>
        <w:topLinePunct w:val="0"/>
        <w:bidi w:val="0"/>
        <w:spacing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    （12）2023年1月1日以来供应商或其法定代表人、拟委任的项目负责人有行贿犯罪行为的（以中国裁判文书网查询结果为准）。</w:t>
      </w:r>
    </w:p>
    <w:p w14:paraId="322599A7">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13）</w:t>
      </w:r>
      <w:r>
        <w:rPr>
          <w:rFonts w:hint="eastAsia" w:ascii="仿宋_GB2312" w:hAnsi="仿宋_GB2312" w:eastAsia="仿宋_GB2312" w:cs="仿宋_GB2312"/>
          <w:sz w:val="32"/>
          <w:szCs w:val="32"/>
          <w:highlight w:val="none"/>
        </w:rPr>
        <w:t>法律法规或</w:t>
      </w:r>
      <w:r>
        <w:rPr>
          <w:rFonts w:hint="eastAsia" w:ascii="仿宋_GB2312" w:hAnsi="仿宋_GB2312" w:eastAsia="仿宋_GB2312" w:cs="仿宋_GB2312"/>
          <w:sz w:val="32"/>
          <w:szCs w:val="32"/>
          <w:highlight w:val="none"/>
          <w:lang w:eastAsia="zh-CN"/>
        </w:rPr>
        <w:t>供应商</w:t>
      </w:r>
      <w:r>
        <w:rPr>
          <w:rFonts w:hint="eastAsia" w:ascii="仿宋_GB2312" w:hAnsi="仿宋_GB2312" w:eastAsia="仿宋_GB2312" w:cs="仿宋_GB2312"/>
          <w:sz w:val="32"/>
          <w:szCs w:val="32"/>
          <w:highlight w:val="none"/>
        </w:rPr>
        <w:t>须知规定的其他情形。</w:t>
      </w:r>
    </w:p>
    <w:p w14:paraId="2505B5B1">
      <w:pPr>
        <w:keepNext w:val="0"/>
        <w:keepLines w:val="0"/>
        <w:pageBreakBefore w:val="0"/>
        <w:wordWrap/>
        <w:overflowPunct/>
        <w:topLinePunct w:val="0"/>
        <w:bidi w:val="0"/>
        <w:spacing w:line="560" w:lineRule="exact"/>
        <w:ind w:firstLine="643" w:firstLineChars="200"/>
        <w:textAlignment w:val="auto"/>
        <w:rPr>
          <w:rFonts w:hint="eastAsia"/>
          <w:highlight w:val="none"/>
        </w:rPr>
      </w:pPr>
      <w:r>
        <w:rPr>
          <w:rFonts w:hint="eastAsia" w:ascii="仿宋_GB2312" w:hAnsi="仿宋_GB2312" w:eastAsia="仿宋_GB2312" w:cs="仿宋_GB2312"/>
          <w:b/>
          <w:bCs/>
          <w:sz w:val="32"/>
          <w:szCs w:val="32"/>
          <w:highlight w:val="none"/>
        </w:rPr>
        <w:t>4.</w:t>
      </w:r>
      <w:r>
        <w:rPr>
          <w:rFonts w:hint="eastAsia" w:ascii="仿宋_GB2312" w:hAnsi="仿宋_GB2312" w:eastAsia="仿宋_GB2312" w:cs="仿宋_GB2312"/>
          <w:b/>
          <w:bCs/>
          <w:sz w:val="32"/>
          <w:szCs w:val="32"/>
          <w:highlight w:val="none"/>
          <w:lang w:val="en-US" w:eastAsia="zh-CN"/>
        </w:rPr>
        <w:t>采购</w:t>
      </w:r>
      <w:r>
        <w:rPr>
          <w:rFonts w:hint="eastAsia" w:ascii="仿宋_GB2312" w:hAnsi="仿宋_GB2312" w:eastAsia="仿宋_GB2312" w:cs="仿宋_GB2312"/>
          <w:b/>
          <w:bCs/>
          <w:sz w:val="32"/>
          <w:szCs w:val="32"/>
          <w:highlight w:val="none"/>
        </w:rPr>
        <w:t>文件及技术规格书中标红或加*条款为实质性条件，</w:t>
      </w:r>
      <w:r>
        <w:rPr>
          <w:rFonts w:hint="eastAsia" w:ascii="仿宋_GB2312" w:hAnsi="仿宋_GB2312" w:eastAsia="仿宋_GB2312" w:cs="仿宋_GB2312"/>
          <w:b/>
          <w:bCs/>
          <w:sz w:val="32"/>
          <w:szCs w:val="32"/>
          <w:highlight w:val="none"/>
          <w:lang w:val="en-US" w:eastAsia="zh-CN"/>
        </w:rPr>
        <w:t>供应商</w:t>
      </w:r>
      <w:r>
        <w:rPr>
          <w:rFonts w:hint="eastAsia" w:ascii="仿宋_GB2312" w:hAnsi="仿宋_GB2312" w:eastAsia="仿宋_GB2312" w:cs="仿宋_GB2312"/>
          <w:b/>
          <w:bCs/>
          <w:sz w:val="32"/>
          <w:szCs w:val="32"/>
          <w:highlight w:val="none"/>
        </w:rPr>
        <w:t>必须作出响应，否则按否决</w:t>
      </w:r>
      <w:r>
        <w:rPr>
          <w:rFonts w:hint="eastAsia" w:ascii="仿宋_GB2312" w:hAnsi="仿宋_GB2312" w:eastAsia="仿宋_GB2312" w:cs="仿宋_GB2312"/>
          <w:b/>
          <w:bCs/>
          <w:sz w:val="32"/>
          <w:szCs w:val="32"/>
          <w:highlight w:val="none"/>
          <w:lang w:val="en-US" w:eastAsia="zh-CN"/>
        </w:rPr>
        <w:t>响应</w:t>
      </w:r>
      <w:r>
        <w:rPr>
          <w:rFonts w:hint="eastAsia" w:ascii="仿宋_GB2312" w:hAnsi="仿宋_GB2312" w:eastAsia="仿宋_GB2312" w:cs="仿宋_GB2312"/>
          <w:b/>
          <w:bCs/>
          <w:sz w:val="32"/>
          <w:szCs w:val="32"/>
          <w:highlight w:val="none"/>
        </w:rPr>
        <w:t>处理。</w:t>
      </w:r>
    </w:p>
    <w:p w14:paraId="020544EC">
      <w:pPr>
        <w:keepNext w:val="0"/>
        <w:keepLines w:val="0"/>
        <w:pageBreakBefore w:val="0"/>
        <w:numPr>
          <w:ilvl w:val="0"/>
          <w:numId w:val="0"/>
        </w:numPr>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（二）采购文件的澄清与说明</w:t>
      </w:r>
    </w:p>
    <w:p w14:paraId="39F36D2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1.任何要求澄清采购文件的响应供应商均应在响应截止时间之前书面提请采购人解释，采购人进行答复。</w:t>
      </w:r>
    </w:p>
    <w:p w14:paraId="3066A9E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采购人可以对已发出的采购文件进行必要的澄清或者修改，澄清或者修改的内容可能影响响应文件编制的，响应供应商需书面说明，采购人接到响应供应商书面说明后，应当顺延递交响应文件的截止时间。采购人对此项目的澄清或者修改以及响应供应商的答疑是采购文件的组成部分，与采购文件具有同等效力。</w:t>
      </w:r>
    </w:p>
    <w:p w14:paraId="495740AE">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（三）响应文件要求</w:t>
      </w:r>
    </w:p>
    <w:p w14:paraId="393D0F6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1.响应文件应经响应供应商单位盖章和单位负责人签字。响应供应商应对其响应文件使用的印章和所有资质证书的真实性、合法性负责，并承担法律责任。</w:t>
      </w:r>
    </w:p>
    <w:p w14:paraId="647C5CC0">
      <w:pPr>
        <w:keepNext w:val="0"/>
        <w:keepLines w:val="0"/>
        <w:pageBreakBefore w:val="0"/>
        <w:wordWrap/>
        <w:overflowPunct/>
        <w:topLinePunct w:val="0"/>
        <w:bidi w:val="0"/>
        <w:spacing w:line="56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2.响应文件应当对采购文件的实质性要求和条件作出满足性或更有利于采购人的响应，否则，响应文件将被否决。</w:t>
      </w:r>
      <w:r>
        <w:rPr>
          <w:rFonts w:hint="eastAsia" w:ascii="仿宋_GB2312" w:hAnsi="仿宋_GB2312" w:eastAsia="仿宋_GB2312" w:cs="仿宋_GB2312"/>
          <w:sz w:val="32"/>
          <w:szCs w:val="32"/>
          <w:highlight w:val="none"/>
          <w:lang w:val="en-US" w:eastAsia="zh-CN"/>
        </w:rPr>
        <w:t>供应商</w:t>
      </w:r>
      <w:r>
        <w:rPr>
          <w:rFonts w:hint="eastAsia" w:ascii="仿宋_GB2312" w:hAnsi="仿宋_GB2312" w:eastAsia="仿宋_GB2312" w:cs="仿宋_GB2312"/>
          <w:sz w:val="32"/>
          <w:szCs w:val="32"/>
          <w:highlight w:val="none"/>
        </w:rPr>
        <w:t>应当对</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文件有关物资采购数量、质量、货物包装方式、检验标准和方法、主要合同条款等实质性内容作出响应。</w:t>
      </w:r>
    </w:p>
    <w:p w14:paraId="3FFDCA1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3.供应商应根据采购文件的要求提供本次采购物资的技术性能指标的详细描述、技术支持资料及技术服务和质保期服务计划等内容以对采购文件作出响应。</w:t>
      </w:r>
    </w:p>
    <w:p w14:paraId="229B0A0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4.采购文件中应针对实质性要求和条件中列明的技术要求提供技术支持资料。技术支持资料以公开发布的印刷资料、检测机构出具的检测报告或采购人允许的其他形式为准，不符合前述要求的，视为无技术支持资料，其响应将被否决。</w:t>
      </w:r>
    </w:p>
    <w:p w14:paraId="4540BCD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5</w:t>
      </w:r>
      <w:r>
        <w:rPr>
          <w:rFonts w:hint="eastAsia" w:ascii="仿宋_GB2312" w:hAnsi="仿宋_GB2312" w:eastAsia="仿宋_GB2312" w:cs="仿宋_GB2312"/>
          <w:color w:val="auto"/>
          <w:sz w:val="32"/>
          <w:szCs w:val="32"/>
          <w:highlight w:val="none"/>
        </w:rPr>
        <w:t>.响应文件中有编制格式的部分，参照采购文件第三章规定的格式编制。本章未提供格式的部分，</w:t>
      </w:r>
      <w:r>
        <w:rPr>
          <w:rFonts w:hint="eastAsia" w:ascii="仿宋_GB2312" w:hAnsi="仿宋_GB2312" w:eastAsia="仿宋_GB2312" w:cs="仿宋_GB2312"/>
          <w:color w:val="auto"/>
          <w:sz w:val="32"/>
          <w:szCs w:val="32"/>
          <w:highlight w:val="none"/>
          <w:lang w:val="en-US" w:eastAsia="zh-CN"/>
        </w:rPr>
        <w:t>供应商</w:t>
      </w:r>
      <w:r>
        <w:rPr>
          <w:rFonts w:hint="eastAsia" w:ascii="仿宋_GB2312" w:hAnsi="仿宋_GB2312" w:eastAsia="仿宋_GB2312" w:cs="仿宋_GB2312"/>
          <w:color w:val="auto"/>
          <w:sz w:val="32"/>
          <w:szCs w:val="32"/>
          <w:highlight w:val="none"/>
        </w:rPr>
        <w:t>应自行拟定，但内容须完整、清晰，并符合</w:t>
      </w:r>
      <w:r>
        <w:rPr>
          <w:rFonts w:hint="eastAsia" w:ascii="仿宋_GB2312" w:hAnsi="仿宋_GB2312" w:eastAsia="仿宋_GB2312" w:cs="仿宋_GB2312"/>
          <w:color w:val="auto"/>
          <w:sz w:val="32"/>
          <w:szCs w:val="32"/>
          <w:highlight w:val="none"/>
          <w:lang w:val="en-US" w:eastAsia="zh-CN"/>
        </w:rPr>
        <w:t>采购</w:t>
      </w:r>
      <w:r>
        <w:rPr>
          <w:rFonts w:hint="eastAsia" w:ascii="仿宋_GB2312" w:hAnsi="仿宋_GB2312" w:eastAsia="仿宋_GB2312" w:cs="仿宋_GB2312"/>
          <w:color w:val="auto"/>
          <w:sz w:val="32"/>
          <w:szCs w:val="32"/>
          <w:highlight w:val="none"/>
        </w:rPr>
        <w:t>文件的其他要求。</w:t>
      </w:r>
    </w:p>
    <w:p w14:paraId="7597513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.响应供应商应保证响应文件及资料均未侵犯他人的知识产权和商业秘密，否则响应供应商必须承担由此引起的全部法律责任和经济责任。</w:t>
      </w:r>
    </w:p>
    <w:p w14:paraId="3F36F6FF">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.若响应供应商使用了他人的专利、专有技术，涉及的费用由响应供应商负责。</w:t>
      </w:r>
    </w:p>
    <w:p w14:paraId="0C33F06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.采购人不接受响应供应商对任何未办理正常进口手续的非中华人民共和国境内生产的货物的报价。</w:t>
      </w:r>
    </w:p>
    <w:p w14:paraId="5CA5B9FB">
      <w:pPr>
        <w:keepNext w:val="0"/>
        <w:keepLines w:val="0"/>
        <w:pageBreakBefore w:val="0"/>
        <w:wordWrap/>
        <w:overflowPunct/>
        <w:topLinePunct w:val="0"/>
        <w:bidi w:val="0"/>
        <w:spacing w:line="560" w:lineRule="exact"/>
        <w:ind w:firstLine="640" w:firstLineChars="200"/>
        <w:textAlignment w:val="auto"/>
        <w:rPr>
          <w:rFonts w:hint="default" w:eastAsia="仿宋_GB2312"/>
          <w:highlight w:val="none"/>
          <w:lang w:val="en-US" w:eastAsia="zh-CN"/>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.响应文件对采购文件的全部偏差，均应在响应文件的商务和技术偏差表中列明，除列明的内容外，视为响应采购文件的全部要求。</w:t>
      </w:r>
    </w:p>
    <w:p w14:paraId="22E2E0B6">
      <w:pPr>
        <w:keepNext w:val="0"/>
        <w:keepLines w:val="0"/>
        <w:pageBreakBefore w:val="0"/>
        <w:wordWrap/>
        <w:overflowPunct/>
        <w:topLinePunct w:val="0"/>
        <w:bidi w:val="0"/>
        <w:spacing w:line="560" w:lineRule="exact"/>
        <w:ind w:firstLine="640" w:firstLineChars="200"/>
        <w:textAlignment w:val="auto"/>
        <w:rPr>
          <w:rFonts w:ascii="黑体" w:hAnsi="黑体" w:eastAsia="黑体" w:cs="黑体"/>
          <w:sz w:val="32"/>
          <w:szCs w:val="32"/>
          <w:highlight w:val="none"/>
        </w:rPr>
      </w:pPr>
      <w:r>
        <w:rPr>
          <w:rFonts w:hint="eastAsia" w:ascii="黑体" w:hAnsi="黑体" w:eastAsia="黑体" w:cs="黑体"/>
          <w:sz w:val="32"/>
          <w:szCs w:val="32"/>
          <w:highlight w:val="none"/>
        </w:rPr>
        <w:t>三、响应文件的开启、谈判与评审</w:t>
      </w:r>
    </w:p>
    <w:p w14:paraId="613E465D">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（一）开启</w:t>
      </w:r>
    </w:p>
    <w:p w14:paraId="61D06F69">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1.开启时间和地点</w:t>
      </w:r>
    </w:p>
    <w:p w14:paraId="7449651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采购人在采购文件规定的响应截止时间和开启地点进行开启响应文件，如有变动在淮北矿业电子商务采购平台发布，响应供应商自行关注。</w:t>
      </w:r>
    </w:p>
    <w:p w14:paraId="0C94F3B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2.开启方式</w:t>
      </w:r>
    </w:p>
    <w:p w14:paraId="4A61E6D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本次</w:t>
      </w:r>
      <w:r>
        <w:rPr>
          <w:rFonts w:hint="eastAsia" w:ascii="仿宋_GB2312" w:hAnsi="仿宋_GB2312" w:eastAsia="仿宋_GB2312" w:cs="仿宋_GB2312"/>
          <w:sz w:val="32"/>
          <w:szCs w:val="32"/>
          <w:highlight w:val="none"/>
          <w:lang w:val="en-US" w:eastAsia="zh-CN"/>
        </w:rPr>
        <w:t>谈判</w:t>
      </w:r>
      <w:r>
        <w:rPr>
          <w:rFonts w:hint="eastAsia" w:ascii="仿宋_GB2312" w:hAnsi="仿宋_GB2312" w:eastAsia="仿宋_GB2312" w:cs="仿宋_GB2312"/>
          <w:sz w:val="32"/>
          <w:szCs w:val="32"/>
          <w:highlight w:val="none"/>
        </w:rPr>
        <w:t>采购采用现场</w:t>
      </w:r>
      <w:r>
        <w:rPr>
          <w:rFonts w:hint="eastAsia" w:ascii="仿宋_GB2312" w:hAnsi="仿宋_GB2312" w:eastAsia="仿宋_GB2312" w:cs="仿宋_GB2312"/>
          <w:sz w:val="32"/>
          <w:szCs w:val="32"/>
          <w:highlight w:val="none"/>
          <w:lang w:val="en-US" w:eastAsia="zh-CN"/>
        </w:rPr>
        <w:t>或视频</w:t>
      </w:r>
      <w:r>
        <w:rPr>
          <w:rFonts w:hint="eastAsia" w:ascii="仿宋_GB2312" w:hAnsi="仿宋_GB2312" w:eastAsia="仿宋_GB2312" w:cs="仿宋_GB2312"/>
          <w:sz w:val="32"/>
          <w:szCs w:val="32"/>
          <w:highlight w:val="none"/>
        </w:rPr>
        <w:t>谈判方式。</w:t>
      </w:r>
    </w:p>
    <w:p w14:paraId="7DFB5DC0">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（二）谈判及初步评审</w:t>
      </w:r>
    </w:p>
    <w:p w14:paraId="62AF2D58">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w:t>
      </w:r>
    </w:p>
    <w:p w14:paraId="691ED50A">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（1）采购人将组建谈判小组，谈判小组由</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人组成。</w:t>
      </w:r>
    </w:p>
    <w:p w14:paraId="6041C75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（2）谈判小组成员有下列情形之一的，应当回避：</w:t>
      </w:r>
    </w:p>
    <w:p w14:paraId="5332335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①响应供应商主要负责人或响应供应商主要负责人的近亲属；</w:t>
      </w:r>
    </w:p>
    <w:p w14:paraId="5AA1616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②与响应供应商有经济利益或其他利害关系，可能影响公正评审的。</w:t>
      </w:r>
    </w:p>
    <w:p w14:paraId="06988157">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（3）在谈判和评审过程中，谈判小组成员对需要共同认定的事项存在争议的，将按照少数服从多数的原则作出结论。持不同意见的谈判小组成员应当在评审报告上签署不同意见，否则视为同意评审报告。</w:t>
      </w:r>
    </w:p>
    <w:p w14:paraId="30E05FA1">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2.初步评审</w:t>
      </w:r>
    </w:p>
    <w:p w14:paraId="7B647D8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（1）谈判小组主要对响应供应商的资格和</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文件的响应性进行审查，以判断响应文件的形式是否符合要求、供应商是否符合资格要求、响应文件是否实质性响应采购文件的要求。</w:t>
      </w:r>
    </w:p>
    <w:p w14:paraId="2390A765">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响应文件中有含义不明确、同类问题表述不一致或有明显文字和计算错误的内容，谈判小组应要求响应供应商在规定的时间内进行澄清、说明和补正。响应供应商澄清、说明和补正的内容应有法定代表人（单位负责人）或其授权的代理人签字或加盖单位章。澄清、说明和补正的内容作为响应文件的组成部分。</w:t>
      </w:r>
    </w:p>
    <w:p w14:paraId="08375BF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（3）只有形式评审和资格评审合格且实质性响应采购文件要求的响应供应商才可通过初步评审。经响应供应商澄清、说明和补正后仍未通过初步评审的响应文件将被视为无效，谈判小组应告知有关响应供应商。</w:t>
      </w:r>
    </w:p>
    <w:p w14:paraId="19814861">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3.谈判</w:t>
      </w:r>
    </w:p>
    <w:p w14:paraId="734829C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（1）谈判小组须与通过初步评审的供应商逐一进行谈判，并给予所有参加谈判的供应商平等的谈判机会。供应商的法定代表人（单位负责人）或其授权的代理人应参加谈判。</w:t>
      </w:r>
    </w:p>
    <w:p w14:paraId="33BE4EC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谈判小组所有成员应集中与单一供应商逐一进行谈判，并根据谈判情况，可要求供应商现场补充有效的响应文件，补充响应文件与首次递交的响应文件共同构成响应文件的组成部分，二者内容不一致的，以补充内容为准。</w:t>
      </w:r>
    </w:p>
    <w:p w14:paraId="2F9AF02C">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（3）评审的依据是采购文件和响应文件，对于响应文件中描述不清楚的部分，谈判小组可请供应商以现场</w:t>
      </w:r>
      <w:r>
        <w:rPr>
          <w:rFonts w:hint="eastAsia" w:ascii="仿宋_GB2312" w:hAnsi="仿宋_GB2312" w:eastAsia="仿宋_GB2312" w:cs="仿宋_GB2312"/>
          <w:sz w:val="32"/>
          <w:szCs w:val="32"/>
          <w:highlight w:val="none"/>
          <w:lang w:val="en-US" w:eastAsia="zh-CN"/>
        </w:rPr>
        <w:t>补充响应文件的</w:t>
      </w:r>
      <w:r>
        <w:rPr>
          <w:rFonts w:hint="eastAsia" w:ascii="仿宋_GB2312" w:hAnsi="仿宋_GB2312" w:eastAsia="仿宋_GB2312" w:cs="仿宋_GB2312"/>
          <w:sz w:val="32"/>
          <w:szCs w:val="32"/>
          <w:highlight w:val="none"/>
        </w:rPr>
        <w:t>方式澄清，但澄清不得改变响应文件的实质性内容。</w:t>
      </w:r>
    </w:p>
    <w:p w14:paraId="0011EE2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（4）谈判小组将拒绝被确定为非实质性响应的报价，供应商不能通过修正或撤销不符之处而使其报价成为实质性响应的报价。</w:t>
      </w:r>
    </w:p>
    <w:p w14:paraId="44CD85A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（5）谈判小组会严格按照采购文件的要求进行评审。供应商不得企图向谈判小组成员施加任何影响，否则将会导致响应报价作废。</w:t>
      </w:r>
    </w:p>
    <w:p w14:paraId="6A201F2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6）谈判结束后，谈判小组将要求所有参加谈判的供应商在规定时间内递交最终报价；最终报价应由供应商的法定代表人（单位负责人）或其授权的代理人签字或加盖单位章。最终报价是供应商响应文件的组成部分。</w:t>
      </w:r>
    </w:p>
    <w:p w14:paraId="51199860">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）确定成交供应商</w:t>
      </w:r>
      <w:r>
        <w:rPr>
          <w:rFonts w:hint="eastAsia" w:ascii="仿宋_GB2312" w:hAnsi="仿宋_GB2312" w:eastAsia="仿宋_GB2312" w:cs="仿宋_GB2312"/>
          <w:sz w:val="32"/>
          <w:szCs w:val="32"/>
          <w:highlight w:val="none"/>
          <w:lang w:val="en-US" w:eastAsia="zh-CN"/>
        </w:rPr>
        <w:t>后</w:t>
      </w:r>
      <w:r>
        <w:rPr>
          <w:rFonts w:hint="eastAsia" w:ascii="仿宋_GB2312" w:hAnsi="仿宋_GB2312" w:eastAsia="仿宋_GB2312" w:cs="仿宋_GB2312"/>
          <w:sz w:val="32"/>
          <w:szCs w:val="32"/>
          <w:highlight w:val="none"/>
        </w:rPr>
        <w:t>，采购人将在淮北矿业电子商务采购平台发布成交公告。</w:t>
      </w:r>
    </w:p>
    <w:p w14:paraId="5E900703">
      <w:pPr>
        <w:keepNext w:val="0"/>
        <w:keepLines w:val="0"/>
        <w:pageBreakBefore w:val="0"/>
        <w:wordWrap/>
        <w:overflowPunct/>
        <w:topLinePunct w:val="0"/>
        <w:bidi w:val="0"/>
        <w:spacing w:line="560" w:lineRule="exact"/>
        <w:ind w:firstLine="643" w:firstLineChars="200"/>
        <w:textAlignment w:val="auto"/>
        <w:rPr>
          <w:rFonts w:hint="eastAsia" w:ascii="楷体_GB2312" w:hAnsi="楷体_GB2312" w:eastAsia="楷体_GB2312" w:cs="楷体_GB2312"/>
          <w:b/>
          <w:bCs/>
          <w:sz w:val="32"/>
          <w:szCs w:val="32"/>
          <w:highlight w:val="none"/>
        </w:rPr>
      </w:pPr>
      <w:r>
        <w:rPr>
          <w:rFonts w:hint="eastAsia" w:ascii="楷体_GB2312" w:hAnsi="楷体_GB2312" w:eastAsia="楷体_GB2312" w:cs="楷体_GB2312"/>
          <w:b/>
          <w:bCs/>
          <w:sz w:val="32"/>
          <w:szCs w:val="32"/>
          <w:highlight w:val="none"/>
        </w:rPr>
        <w:t>（三）纪律要求</w:t>
      </w:r>
    </w:p>
    <w:p w14:paraId="236422B2">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1.</w:t>
      </w:r>
      <w:r>
        <w:rPr>
          <w:rFonts w:hint="eastAsia" w:ascii="仿宋_GB2312" w:hAnsi="仿宋_GB2312" w:eastAsia="仿宋_GB2312" w:cs="仿宋_GB2312"/>
          <w:sz w:val="32"/>
          <w:szCs w:val="32"/>
          <w:highlight w:val="none"/>
        </w:rPr>
        <w:t>对采购人的纪律要求</w:t>
      </w:r>
    </w:p>
    <w:p w14:paraId="52A5CCA6">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采购人不得泄漏采购活动中应当保密的情况和资料，不得与响应供应商串通损害国家利益、社会公共利益或者他人合法权益。</w:t>
      </w:r>
    </w:p>
    <w:p w14:paraId="50E14BD3">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2.</w:t>
      </w:r>
      <w:r>
        <w:rPr>
          <w:rFonts w:hint="eastAsia" w:ascii="仿宋_GB2312" w:hAnsi="仿宋_GB2312" w:eastAsia="仿宋_GB2312" w:cs="仿宋_GB2312"/>
          <w:sz w:val="32"/>
          <w:szCs w:val="32"/>
          <w:highlight w:val="none"/>
        </w:rPr>
        <w:t>对响应供应商的纪律要求</w:t>
      </w:r>
    </w:p>
    <w:p w14:paraId="3104EE64">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响应供应商不得相互串通或者与采购人串通，不得向采购人或者谈判小组成员行贿谋取成交，不得以他人名义参加采购活动或者以其他方式弄虚作假骗取成交；不得以任何方式干扰、影响评审工作。</w:t>
      </w:r>
    </w:p>
    <w:p w14:paraId="32E07E68">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3.</w:t>
      </w:r>
      <w:r>
        <w:rPr>
          <w:rFonts w:hint="eastAsia" w:ascii="仿宋_GB2312" w:hAnsi="仿宋_GB2312" w:eastAsia="仿宋_GB2312" w:cs="仿宋_GB2312"/>
          <w:sz w:val="32"/>
          <w:szCs w:val="32"/>
          <w:highlight w:val="none"/>
        </w:rPr>
        <w:t>对谈判小组成员的纪律要求</w:t>
      </w:r>
    </w:p>
    <w:p w14:paraId="0038213E">
      <w:pPr>
        <w:keepNext w:val="0"/>
        <w:keepLines w:val="0"/>
        <w:pageBreakBefore w:val="0"/>
        <w:wordWrap/>
        <w:overflowPunct/>
        <w:topLinePunct w:val="0"/>
        <w:bidi w:val="0"/>
        <w:spacing w:line="560" w:lineRule="exact"/>
        <w:ind w:firstLine="640" w:firstLineChars="20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谈判小组成员不得收受他人的财物或者其他好处，不得向他人</w:t>
      </w:r>
      <w:r>
        <w:rPr>
          <w:rFonts w:hint="eastAsia" w:ascii="仿宋_GB2312" w:hAnsi="仿宋_GB2312" w:eastAsia="仿宋_GB2312" w:cs="仿宋_GB2312"/>
          <w:sz w:val="32"/>
          <w:szCs w:val="32"/>
          <w:highlight w:val="none"/>
          <w:lang w:val="en-US" w:eastAsia="zh-CN"/>
        </w:rPr>
        <w:t>透露</w:t>
      </w:r>
      <w:r>
        <w:rPr>
          <w:rFonts w:hint="eastAsia" w:ascii="仿宋_GB2312" w:hAnsi="仿宋_GB2312" w:eastAsia="仿宋_GB2312" w:cs="仿宋_GB2312"/>
          <w:sz w:val="32"/>
          <w:szCs w:val="32"/>
          <w:highlight w:val="none"/>
        </w:rPr>
        <w:t>对响应文件的评审和比较、成交候选人的推荐情况以及评审有关的其他情况。在评审活动中，谈判小组成员不得擅离职守，影响评审程序正常进行。</w:t>
      </w:r>
    </w:p>
    <w:p w14:paraId="52047AF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46A0B0B2">
      <w:pPr>
        <w:keepNext w:val="0"/>
        <w:keepLines w:val="0"/>
        <w:pageBreakBefore w:val="0"/>
        <w:wordWrap/>
        <w:overflowPunct/>
        <w:topLinePunct w:val="0"/>
        <w:bidi w:val="0"/>
        <w:spacing w:line="560" w:lineRule="exact"/>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第三章 响应文件</w:t>
      </w:r>
      <w:r>
        <w:rPr>
          <w:rFonts w:hint="eastAsia" w:ascii="宋体" w:hAnsi="宋体" w:eastAsia="宋体" w:cs="宋体"/>
          <w:b/>
          <w:bCs/>
          <w:sz w:val="36"/>
          <w:szCs w:val="36"/>
          <w:highlight w:val="none"/>
          <w:lang w:val="en-US" w:eastAsia="zh-CN"/>
        </w:rPr>
        <w:t>格式</w:t>
      </w:r>
    </w:p>
    <w:p w14:paraId="083120C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7204A2A5">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rPr>
      </w:pPr>
      <w:r>
        <w:rPr>
          <w:rFonts w:hint="default" w:ascii="Times New Roman" w:hAnsi="Times New Roman" w:eastAsia="黑体" w:cs="Times New Roman"/>
          <w:b w:val="0"/>
          <w:bCs w:val="0"/>
          <w:kern w:val="1"/>
          <w:sz w:val="28"/>
          <w:szCs w:val="28"/>
        </w:rPr>
        <w:t>一、</w:t>
      </w:r>
      <w:r>
        <w:rPr>
          <w:rFonts w:hint="default" w:ascii="Times New Roman" w:hAnsi="Times New Roman" w:eastAsia="黑体" w:cs="Times New Roman"/>
          <w:b w:val="0"/>
          <w:bCs w:val="0"/>
          <w:kern w:val="1"/>
          <w:sz w:val="28"/>
          <w:szCs w:val="28"/>
          <w:lang w:val="en-US" w:eastAsia="zh-CN"/>
        </w:rPr>
        <w:t>响应文件目录，</w:t>
      </w:r>
      <w:r>
        <w:rPr>
          <w:rFonts w:hint="default" w:ascii="Times New Roman" w:hAnsi="Times New Roman" w:eastAsia="黑体" w:cs="Times New Roman"/>
          <w:b w:val="0"/>
          <w:bCs w:val="0"/>
          <w:kern w:val="1"/>
          <w:sz w:val="28"/>
          <w:szCs w:val="28"/>
        </w:rPr>
        <w:t>包括但不限于：</w:t>
      </w:r>
    </w:p>
    <w:p w14:paraId="1611D69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lang w:val="en-US" w:eastAsia="zh-CN"/>
        </w:rPr>
        <w:t>一</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响应函</w:t>
      </w:r>
      <w:r>
        <w:rPr>
          <w:rFonts w:hint="eastAsia" w:ascii="Times New Roman" w:hAnsi="Times New Roman" w:eastAsia="宋体" w:cs="Times New Roman"/>
          <w:b w:val="0"/>
          <w:bCs w:val="0"/>
          <w:sz w:val="28"/>
          <w:szCs w:val="28"/>
          <w:highlight w:val="none"/>
          <w:lang w:val="en-US" w:eastAsia="zh-CN"/>
        </w:rPr>
        <w:t>及报价单</w:t>
      </w:r>
    </w:p>
    <w:p w14:paraId="4A6CF8A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lang w:val="en-US" w:eastAsia="zh-CN"/>
        </w:rPr>
        <w:t>二</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响应保证金(适用于递交响应保证金的情况)</w:t>
      </w:r>
    </w:p>
    <w:p w14:paraId="1A0C567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三</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商务和技术偏差表</w:t>
      </w:r>
    </w:p>
    <w:p w14:paraId="2ADB65B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四</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资格审查资料</w:t>
      </w:r>
    </w:p>
    <w:p w14:paraId="7ECD72F5">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eastAsia="zh-CN"/>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五</w:t>
      </w:r>
      <w:r>
        <w:rPr>
          <w:rFonts w:hint="default" w:ascii="Times New Roman" w:hAnsi="Times New Roman" w:eastAsia="宋体" w:cs="Times New Roman"/>
          <w:b w:val="0"/>
          <w:bCs w:val="0"/>
          <w:sz w:val="28"/>
          <w:szCs w:val="28"/>
          <w:highlight w:val="none"/>
          <w:lang w:eastAsia="zh-CN"/>
        </w:rPr>
        <w:t>）响应方案</w:t>
      </w:r>
    </w:p>
    <w:p w14:paraId="770D74E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eastAsia" w:ascii="Times New Roman" w:hAnsi="Times New Roman" w:eastAsia="宋体" w:cs="Times New Roman"/>
          <w:b w:val="0"/>
          <w:bCs w:val="0"/>
          <w:sz w:val="28"/>
          <w:szCs w:val="28"/>
          <w:highlight w:val="none"/>
          <w:lang w:eastAsia="zh-CN"/>
        </w:rPr>
      </w:pPr>
      <w:r>
        <w:rPr>
          <w:rFonts w:hint="default"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六</w:t>
      </w:r>
      <w:r>
        <w:rPr>
          <w:rFonts w:hint="default" w:ascii="Times New Roman" w:hAnsi="Times New Roman" w:eastAsia="宋体" w:cs="Times New Roman"/>
          <w:b w:val="0"/>
          <w:bCs w:val="0"/>
          <w:sz w:val="28"/>
          <w:szCs w:val="28"/>
          <w:highlight w:val="none"/>
          <w:lang w:eastAsia="zh-CN"/>
        </w:rPr>
        <w:t>）</w:t>
      </w:r>
      <w:r>
        <w:rPr>
          <w:rFonts w:hint="default" w:ascii="Times New Roman" w:hAnsi="Times New Roman" w:eastAsia="宋体" w:cs="Times New Roman"/>
          <w:b w:val="0"/>
          <w:bCs w:val="0"/>
          <w:sz w:val="28"/>
          <w:szCs w:val="28"/>
          <w:highlight w:val="none"/>
        </w:rPr>
        <w:t>其他资料</w:t>
      </w:r>
      <w:r>
        <w:rPr>
          <w:rFonts w:hint="eastAsia" w:ascii="Times New Roman" w:hAnsi="Times New Roman" w:eastAsia="宋体" w:cs="Times New Roman"/>
          <w:b w:val="0"/>
          <w:bCs w:val="0"/>
          <w:sz w:val="28"/>
          <w:szCs w:val="28"/>
          <w:highlight w:val="none"/>
          <w:lang w:eastAsia="zh-CN"/>
        </w:rPr>
        <w:t>（</w:t>
      </w:r>
      <w:r>
        <w:rPr>
          <w:rFonts w:hint="eastAsia" w:ascii="Times New Roman" w:hAnsi="Times New Roman" w:eastAsia="宋体" w:cs="Times New Roman"/>
          <w:b w:val="0"/>
          <w:bCs w:val="0"/>
          <w:sz w:val="28"/>
          <w:szCs w:val="28"/>
          <w:highlight w:val="none"/>
          <w:lang w:val="en-US" w:eastAsia="zh-CN"/>
        </w:rPr>
        <w:t>若有</w:t>
      </w:r>
      <w:r>
        <w:rPr>
          <w:rFonts w:hint="eastAsia" w:ascii="Times New Roman" w:hAnsi="Times New Roman" w:eastAsia="宋体" w:cs="Times New Roman"/>
          <w:b w:val="0"/>
          <w:bCs w:val="0"/>
          <w:sz w:val="28"/>
          <w:szCs w:val="28"/>
          <w:highlight w:val="none"/>
          <w:lang w:eastAsia="zh-CN"/>
        </w:rPr>
        <w:t>）</w:t>
      </w:r>
    </w:p>
    <w:p w14:paraId="42A684A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kern w:val="1"/>
          <w:sz w:val="28"/>
          <w:szCs w:val="28"/>
          <w:lang w:val="en-US" w:eastAsia="zh-CN"/>
        </w:rPr>
      </w:pPr>
      <w:r>
        <w:rPr>
          <w:rFonts w:hint="default" w:ascii="Times New Roman" w:hAnsi="Times New Roman" w:eastAsia="黑体" w:cs="Times New Roman"/>
          <w:b w:val="0"/>
          <w:bCs w:val="0"/>
          <w:kern w:val="1"/>
          <w:sz w:val="28"/>
          <w:szCs w:val="28"/>
          <w:lang w:val="en-US" w:eastAsia="zh-CN"/>
        </w:rPr>
        <w:t>二、标准格式及相关要求</w:t>
      </w:r>
    </w:p>
    <w:p w14:paraId="0B6A8D07">
      <w:pPr>
        <w:keepNext w:val="0"/>
        <w:keepLines w:val="0"/>
        <w:pageBreakBefore w:val="0"/>
        <w:widowControl w:val="0"/>
        <w:kinsoku/>
        <w:wordWrap w:val="0"/>
        <w:overflowPunct/>
        <w:topLinePunct w:val="0"/>
        <w:autoSpaceDE/>
        <w:autoSpaceDN/>
        <w:bidi w:val="0"/>
        <w:adjustRightInd/>
        <w:snapToGrid/>
        <w:spacing w:line="480" w:lineRule="exact"/>
        <w:ind w:right="0"/>
        <w:jc w:val="center"/>
        <w:textAlignment w:val="auto"/>
        <w:rPr>
          <w:rFonts w:hint="default" w:ascii="Times New Roman" w:hAnsi="Times New Roman" w:eastAsia="宋体" w:cs="Times New Roman"/>
          <w:b/>
          <w:bCs/>
          <w:color w:val="auto"/>
          <w:kern w:val="1"/>
          <w:sz w:val="28"/>
          <w:szCs w:val="28"/>
          <w:lang w:val="en-US" w:eastAsia="zh-CN"/>
        </w:rPr>
      </w:pPr>
      <w:r>
        <w:rPr>
          <w:rFonts w:hint="default" w:ascii="Times New Roman" w:hAnsi="Times New Roman" w:eastAsia="宋体" w:cs="Times New Roman"/>
          <w:b/>
          <w:bCs/>
          <w:color w:val="auto"/>
          <w:kern w:val="1"/>
          <w:sz w:val="28"/>
          <w:szCs w:val="28"/>
          <w:lang w:eastAsia="zh-CN"/>
        </w:rPr>
        <w:t>（</w:t>
      </w:r>
      <w:r>
        <w:rPr>
          <w:rFonts w:hint="default" w:ascii="Times New Roman" w:hAnsi="Times New Roman" w:eastAsia="宋体" w:cs="Times New Roman"/>
          <w:b/>
          <w:bCs/>
          <w:color w:val="auto"/>
          <w:kern w:val="1"/>
          <w:sz w:val="28"/>
          <w:szCs w:val="28"/>
          <w:lang w:val="en-US" w:eastAsia="zh-CN"/>
        </w:rPr>
        <w:t>一</w:t>
      </w:r>
      <w:r>
        <w:rPr>
          <w:rFonts w:hint="default" w:ascii="Times New Roman" w:hAnsi="Times New Roman" w:eastAsia="宋体" w:cs="Times New Roman"/>
          <w:b/>
          <w:bCs/>
          <w:color w:val="auto"/>
          <w:kern w:val="1"/>
          <w:sz w:val="28"/>
          <w:szCs w:val="28"/>
          <w:lang w:eastAsia="zh-CN"/>
        </w:rPr>
        <w:t>）</w:t>
      </w:r>
      <w:r>
        <w:rPr>
          <w:rFonts w:hint="default" w:ascii="Times New Roman" w:hAnsi="Times New Roman" w:eastAsia="宋体" w:cs="Times New Roman"/>
          <w:b/>
          <w:bCs/>
          <w:color w:val="auto"/>
          <w:kern w:val="1"/>
          <w:sz w:val="28"/>
          <w:szCs w:val="28"/>
          <w:lang w:val="en-US" w:eastAsia="zh-CN"/>
        </w:rPr>
        <w:t>响应函</w:t>
      </w:r>
    </w:p>
    <w:p w14:paraId="0B5778F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淮北矿业股份有限公司物资分公司</w:t>
      </w:r>
      <w:r>
        <w:rPr>
          <w:rFonts w:hint="default" w:ascii="Times New Roman" w:hAnsi="Times New Roman" w:eastAsia="宋体" w:cs="Times New Roman"/>
          <w:b w:val="0"/>
          <w:bCs w:val="0"/>
          <w:sz w:val="28"/>
          <w:szCs w:val="28"/>
        </w:rPr>
        <w:t>:</w:t>
      </w:r>
    </w:p>
    <w:p w14:paraId="4C71F09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1. 我方已仔细研究了(项目名称)采购文件的全部内容，愿意以</w:t>
      </w:r>
      <w:r>
        <w:rPr>
          <w:rFonts w:hint="eastAsia" w:ascii="Times New Roman" w:hAnsi="Times New Roman" w:eastAsia="宋体" w:cs="Times New Roman"/>
          <w:b w:val="0"/>
          <w:bCs w:val="0"/>
          <w:sz w:val="28"/>
          <w:szCs w:val="28"/>
          <w:lang w:val="en-US" w:eastAsia="zh-CN"/>
        </w:rPr>
        <w:t>最终成交价</w:t>
      </w:r>
      <w:r>
        <w:rPr>
          <w:rFonts w:hint="default" w:ascii="Times New Roman" w:hAnsi="Times New Roman" w:eastAsia="宋体" w:cs="Times New Roman"/>
          <w:b w:val="0"/>
          <w:bCs w:val="0"/>
          <w:sz w:val="28"/>
          <w:szCs w:val="28"/>
        </w:rPr>
        <w:t>提供本项目货物，并按合同约定履行义务。</w:t>
      </w:r>
    </w:p>
    <w:p w14:paraId="2EC29502">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 我方承诺除商务和技术偏差表列出的偏差外，我方响应采购文件的全部要求。</w:t>
      </w:r>
    </w:p>
    <w:p w14:paraId="635D93B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3</w:t>
      </w:r>
      <w:r>
        <w:rPr>
          <w:rFonts w:hint="default" w:ascii="Times New Roman" w:hAnsi="Times New Roman" w:eastAsia="宋体" w:cs="Times New Roman"/>
          <w:b w:val="0"/>
          <w:bCs w:val="0"/>
          <w:sz w:val="28"/>
          <w:szCs w:val="28"/>
        </w:rPr>
        <w:t>. 我方承诺在采购文件规定的响应文件有效期内不撤销响应文件。</w:t>
      </w:r>
    </w:p>
    <w:p w14:paraId="34C029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4</w:t>
      </w:r>
      <w:r>
        <w:rPr>
          <w:rFonts w:hint="default" w:ascii="Times New Roman" w:hAnsi="Times New Roman" w:eastAsia="宋体" w:cs="Times New Roman"/>
          <w:b w:val="0"/>
          <w:bCs w:val="0"/>
          <w:sz w:val="28"/>
          <w:szCs w:val="28"/>
        </w:rPr>
        <w:t>. 如我方成交，我方承诺：</w:t>
      </w:r>
    </w:p>
    <w:p w14:paraId="4BA46B7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(1)在收到成交通知书后，在成交通知书规定的期限内与你方签订合同；</w:t>
      </w:r>
    </w:p>
    <w:p w14:paraId="1382560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(2)在签订合同时不向你方提出附加条件；</w:t>
      </w:r>
    </w:p>
    <w:p w14:paraId="17F0738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(3)按照采购文件要求递交履约保证金；</w:t>
      </w:r>
    </w:p>
    <w:p w14:paraId="236D5FE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rPr>
        <w:t>(4)在合同约定的期限内完成合同规定的全部义务。</w:t>
      </w:r>
    </w:p>
    <w:p w14:paraId="138324F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eastAsia" w:ascii="Times New Roman" w:hAnsi="Times New Roman" w:eastAsia="宋体" w:cs="Times New Roman"/>
          <w:b w:val="0"/>
          <w:bCs w:val="0"/>
          <w:sz w:val="28"/>
          <w:szCs w:val="28"/>
          <w:lang w:val="en-US" w:eastAsia="zh-CN"/>
        </w:rPr>
        <w:t>5</w:t>
      </w:r>
      <w:r>
        <w:rPr>
          <w:rFonts w:hint="default" w:ascii="Times New Roman" w:hAnsi="Times New Roman" w:eastAsia="宋体" w:cs="Times New Roman"/>
          <w:b w:val="0"/>
          <w:bCs w:val="0"/>
          <w:sz w:val="28"/>
          <w:szCs w:val="28"/>
        </w:rPr>
        <w:t>. 我方在此声明，所递交的响应文件及有关资料内容完整、真实和准确，且不存在</w:t>
      </w:r>
      <w:r>
        <w:rPr>
          <w:rFonts w:hint="eastAsia" w:ascii="Times New Roman" w:hAnsi="Times New Roman" w:eastAsia="宋体" w:cs="Times New Roman"/>
          <w:b w:val="0"/>
          <w:bCs w:val="0"/>
          <w:sz w:val="28"/>
          <w:szCs w:val="28"/>
          <w:lang w:val="en-US" w:eastAsia="zh-CN"/>
        </w:rPr>
        <w:t>采购文件规定的</w:t>
      </w:r>
      <w:r>
        <w:rPr>
          <w:rFonts w:hint="default" w:ascii="Times New Roman" w:hAnsi="Times New Roman" w:eastAsia="宋体" w:cs="Times New Roman"/>
          <w:b w:val="0"/>
          <w:bCs w:val="0"/>
          <w:sz w:val="28"/>
          <w:szCs w:val="28"/>
        </w:rPr>
        <w:t>供应商不得存在的情形。</w:t>
      </w:r>
    </w:p>
    <w:p w14:paraId="0C837BC5">
      <w:pPr>
        <w:keepNext w:val="0"/>
        <w:keepLines w:val="0"/>
        <w:pageBreakBefore w:val="0"/>
        <w:widowControl w:val="0"/>
        <w:kinsoku/>
        <w:wordWrap/>
        <w:overflowPunct/>
        <w:topLinePunct w:val="0"/>
        <w:autoSpaceDE/>
        <w:autoSpaceDN/>
        <w:bidi w:val="0"/>
        <w:adjustRightInd/>
        <w:snapToGrid/>
        <w:spacing w:line="480" w:lineRule="exact"/>
        <w:ind w:right="0"/>
        <w:jc w:val="left"/>
        <w:textAlignment w:val="auto"/>
        <w:rPr>
          <w:rFonts w:hint="default" w:ascii="Times New Roman" w:hAnsi="Times New Roman" w:eastAsia="宋体" w:cs="Times New Roman"/>
          <w:b w:val="0"/>
          <w:bCs w:val="0"/>
          <w:sz w:val="28"/>
          <w:szCs w:val="28"/>
        </w:rPr>
      </w:pPr>
    </w:p>
    <w:p w14:paraId="161E3804">
      <w:pPr>
        <w:keepNext w:val="0"/>
        <w:keepLines w:val="0"/>
        <w:pageBreakBefore w:val="0"/>
        <w:widowControl w:val="0"/>
        <w:kinsoku/>
        <w:wordWrap/>
        <w:overflowPunct/>
        <w:topLinePunct w:val="0"/>
        <w:autoSpaceDE/>
        <w:autoSpaceDN/>
        <w:bidi w:val="0"/>
        <w:adjustRightInd/>
        <w:snapToGrid/>
        <w:spacing w:line="480" w:lineRule="exact"/>
        <w:ind w:right="0" w:firstLine="2520" w:firstLineChars="900"/>
        <w:jc w:val="left"/>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rPr>
        <w:t>供应商 ：(盖单位章)</w:t>
      </w:r>
      <w:r>
        <w:rPr>
          <w:rFonts w:hint="default" w:ascii="Times New Roman" w:hAnsi="Times New Roman" w:eastAsia="宋体" w:cs="Times New Roman"/>
          <w:b w:val="0"/>
          <w:bCs w:val="0"/>
          <w:sz w:val="28"/>
          <w:szCs w:val="28"/>
          <w:lang w:val="en-US" w:eastAsia="zh-CN"/>
        </w:rPr>
        <w:t xml:space="preserve">       </w:t>
      </w:r>
    </w:p>
    <w:p w14:paraId="7BAABD30">
      <w:pPr>
        <w:pStyle w:val="2"/>
        <w:keepNext w:val="0"/>
        <w:keepLines w:val="0"/>
        <w:pageBreakBefore w:val="0"/>
        <w:widowControl w:val="0"/>
        <w:kinsoku/>
        <w:wordWrap w:val="0"/>
        <w:overflowPunct/>
        <w:topLinePunct w:val="0"/>
        <w:autoSpaceDE/>
        <w:autoSpaceDN/>
        <w:bidi w:val="0"/>
        <w:adjustRightInd/>
        <w:snapToGrid/>
        <w:spacing w:line="480" w:lineRule="exact"/>
        <w:ind w:right="0"/>
        <w:jc w:val="both"/>
        <w:textAlignment w:val="auto"/>
        <w:rPr>
          <w:rFonts w:hint="default" w:ascii="Times New Roman" w:hAnsi="Times New Roman" w:eastAsia="宋体" w:cs="Times New Roman"/>
          <w:b w:val="0"/>
          <w:bCs w:val="0"/>
          <w:sz w:val="28"/>
          <w:szCs w:val="28"/>
          <w:lang w:val="en-US" w:eastAsia="zh-CN"/>
        </w:rPr>
      </w:pPr>
      <w:r>
        <w:rPr>
          <w:rFonts w:hint="eastAsia" w:ascii="Times New Roman" w:hAnsi="Times New Roman" w:cs="Times New Roman"/>
          <w:b w:val="0"/>
          <w:bCs w:val="0"/>
          <w:sz w:val="28"/>
          <w:szCs w:val="28"/>
          <w:lang w:val="en-US" w:eastAsia="zh-CN"/>
        </w:rPr>
        <w:t>报价单格式参考</w:t>
      </w:r>
      <w:r>
        <w:rPr>
          <w:rFonts w:hint="default" w:ascii="Times New Roman" w:hAnsi="Times New Roman" w:eastAsia="宋体" w:cs="Times New Roman"/>
          <w:b w:val="0"/>
          <w:bCs w:val="0"/>
          <w:kern w:val="1"/>
          <w:sz w:val="28"/>
          <w:szCs w:val="28"/>
        </w:rPr>
        <w:t>淮北矿业电子</w:t>
      </w:r>
      <w:r>
        <w:rPr>
          <w:rFonts w:hint="default" w:ascii="Times New Roman" w:hAnsi="Times New Roman" w:eastAsia="宋体" w:cs="Times New Roman"/>
          <w:b w:val="0"/>
          <w:bCs w:val="0"/>
          <w:kern w:val="1"/>
          <w:sz w:val="28"/>
          <w:szCs w:val="28"/>
          <w:lang w:val="en-US" w:eastAsia="zh-CN"/>
        </w:rPr>
        <w:t>商务</w:t>
      </w:r>
      <w:r>
        <w:rPr>
          <w:rFonts w:hint="default" w:ascii="Times New Roman" w:hAnsi="Times New Roman" w:eastAsia="宋体" w:cs="Times New Roman"/>
          <w:b w:val="0"/>
          <w:bCs w:val="0"/>
          <w:kern w:val="1"/>
          <w:sz w:val="28"/>
          <w:szCs w:val="28"/>
        </w:rPr>
        <w:t>采购</w:t>
      </w:r>
      <w:r>
        <w:rPr>
          <w:rFonts w:hint="eastAsia" w:ascii="Times New Roman" w:hAnsi="Times New Roman" w:cs="Times New Roman"/>
          <w:b w:val="0"/>
          <w:bCs w:val="0"/>
          <w:sz w:val="28"/>
          <w:szCs w:val="28"/>
          <w:lang w:val="en-US" w:eastAsia="zh-CN"/>
        </w:rPr>
        <w:t>平台报价格式</w:t>
      </w:r>
    </w:p>
    <w:p w14:paraId="5CCDE68C">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2" w:firstLineChars="200"/>
        <w:textAlignment w:val="auto"/>
        <w:rPr>
          <w:rFonts w:hint="default" w:ascii="Times New Roman" w:hAnsi="Times New Roman" w:eastAsia="宋体" w:cs="Times New Roman"/>
          <w:b/>
          <w:bCs/>
          <w:kern w:val="1"/>
          <w:sz w:val="28"/>
          <w:szCs w:val="28"/>
          <w:highlight w:val="none"/>
        </w:rPr>
      </w:pPr>
      <w:r>
        <w:rPr>
          <w:rFonts w:hint="default" w:ascii="Times New Roman" w:hAnsi="Times New Roman" w:eastAsia="宋体" w:cs="Times New Roman"/>
          <w:b/>
          <w:bCs/>
          <w:color w:val="auto"/>
          <w:kern w:val="1"/>
          <w:sz w:val="28"/>
          <w:szCs w:val="28"/>
          <w:highlight w:val="none"/>
          <w:lang w:val="en-US" w:eastAsia="zh-CN"/>
        </w:rPr>
        <w:t>（二）</w:t>
      </w:r>
      <w:r>
        <w:rPr>
          <w:rFonts w:hint="default" w:ascii="Times New Roman" w:hAnsi="Times New Roman" w:eastAsia="宋体" w:cs="Times New Roman"/>
          <w:b/>
          <w:bCs/>
          <w:kern w:val="1"/>
          <w:sz w:val="28"/>
          <w:szCs w:val="28"/>
          <w:highlight w:val="none"/>
        </w:rPr>
        <w:t>响应保证金</w:t>
      </w:r>
    </w:p>
    <w:p w14:paraId="5C20217C">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0" w:firstLineChars="200"/>
        <w:textAlignment w:val="auto"/>
        <w:rPr>
          <w:rFonts w:hint="default" w:ascii="Times New Roman" w:hAnsi="Times New Roman" w:eastAsia="宋体" w:cs="Times New Roman"/>
          <w:b w:val="0"/>
          <w:bCs w:val="0"/>
          <w:kern w:val="1"/>
          <w:sz w:val="28"/>
          <w:szCs w:val="28"/>
          <w:highlight w:val="none"/>
          <w:lang w:eastAsia="zh-CN"/>
        </w:rPr>
      </w:pPr>
      <w:r>
        <w:rPr>
          <w:rFonts w:hint="default" w:ascii="Times New Roman" w:hAnsi="Times New Roman" w:eastAsia="宋体" w:cs="Times New Roman"/>
          <w:b w:val="0"/>
          <w:bCs w:val="0"/>
          <w:kern w:val="1"/>
          <w:sz w:val="28"/>
          <w:szCs w:val="28"/>
          <w:highlight w:val="none"/>
          <w:lang w:val="en-US" w:eastAsia="zh-CN"/>
        </w:rPr>
        <w:t>响应</w:t>
      </w:r>
      <w:r>
        <w:rPr>
          <w:rFonts w:hint="default" w:ascii="Times New Roman" w:hAnsi="Times New Roman" w:eastAsia="宋体" w:cs="Times New Roman"/>
          <w:b w:val="0"/>
          <w:bCs w:val="0"/>
          <w:kern w:val="1"/>
          <w:sz w:val="28"/>
          <w:szCs w:val="28"/>
          <w:highlight w:val="none"/>
        </w:rPr>
        <w:t>保证金回执单</w:t>
      </w:r>
      <w:r>
        <w:rPr>
          <w:rFonts w:hint="eastAsia" w:ascii="Times New Roman" w:hAnsi="Times New Roman" w:eastAsia="宋体" w:cs="Times New Roman"/>
          <w:b w:val="0"/>
          <w:bCs w:val="0"/>
          <w:kern w:val="1"/>
          <w:sz w:val="28"/>
          <w:szCs w:val="28"/>
          <w:highlight w:val="none"/>
          <w:lang w:eastAsia="zh-CN"/>
        </w:rPr>
        <w:t>（</w:t>
      </w:r>
      <w:r>
        <w:rPr>
          <w:rFonts w:hint="eastAsia" w:ascii="Times New Roman" w:hAnsi="Times New Roman" w:eastAsia="宋体" w:cs="Times New Roman"/>
          <w:b w:val="0"/>
          <w:bCs w:val="0"/>
          <w:kern w:val="1"/>
          <w:sz w:val="28"/>
          <w:szCs w:val="28"/>
          <w:highlight w:val="none"/>
          <w:lang w:val="en-US" w:eastAsia="zh-CN"/>
        </w:rPr>
        <w:t>如有</w:t>
      </w:r>
      <w:r>
        <w:rPr>
          <w:rFonts w:hint="eastAsia" w:ascii="Times New Roman" w:hAnsi="Times New Roman" w:eastAsia="宋体" w:cs="Times New Roman"/>
          <w:b w:val="0"/>
          <w:bCs w:val="0"/>
          <w:kern w:val="1"/>
          <w:sz w:val="28"/>
          <w:szCs w:val="28"/>
          <w:highlight w:val="none"/>
          <w:lang w:eastAsia="zh-CN"/>
        </w:rPr>
        <w:t>）</w:t>
      </w:r>
    </w:p>
    <w:p w14:paraId="405CDA7F">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三</w:t>
      </w:r>
      <w:r>
        <w:rPr>
          <w:rFonts w:hint="default" w:ascii="Times New Roman" w:hAnsi="Times New Roman" w:eastAsia="宋体" w:cs="Times New Roman"/>
          <w:b/>
          <w:bCs/>
          <w:kern w:val="1"/>
          <w:sz w:val="28"/>
          <w:szCs w:val="28"/>
          <w:highlight w:val="none"/>
          <w:lang w:eastAsia="zh-CN"/>
        </w:rPr>
        <w:t>）商务和技术偏差表</w:t>
      </w:r>
    </w:p>
    <w:p w14:paraId="5E83A1B2">
      <w:pPr>
        <w:keepNext w:val="0"/>
        <w:keepLines w:val="0"/>
        <w:pageBreakBefore w:val="0"/>
        <w:widowControl w:val="0"/>
        <w:kinsoku/>
        <w:wordWrap w:val="0"/>
        <w:overflowPunct/>
        <w:topLinePunct w:val="0"/>
        <w:autoSpaceDE/>
        <w:autoSpaceDN/>
        <w:bidi w:val="0"/>
        <w:adjustRightInd/>
        <w:snapToGrid/>
        <w:spacing w:line="560" w:lineRule="exact"/>
        <w:ind w:left="0" w:leftChars="0" w:right="0" w:firstLine="560" w:firstLineChars="200"/>
        <w:textAlignment w:val="auto"/>
        <w:rPr>
          <w:rFonts w:hint="default" w:ascii="Times New Roman" w:hAnsi="Times New Roman" w:eastAsia="宋体" w:cs="Times New Roman"/>
          <w:b w:val="0"/>
          <w:bCs w:val="0"/>
          <w:kern w:val="1"/>
          <w:sz w:val="28"/>
          <w:szCs w:val="28"/>
          <w:highlight w:val="none"/>
        </w:rPr>
      </w:pPr>
      <w:r>
        <w:rPr>
          <w:rFonts w:hint="default" w:ascii="Times New Roman" w:hAnsi="Times New Roman" w:eastAsia="宋体" w:cs="Times New Roman"/>
          <w:b w:val="0"/>
          <w:bCs w:val="0"/>
          <w:kern w:val="1"/>
          <w:sz w:val="28"/>
          <w:szCs w:val="28"/>
          <w:highlight w:val="none"/>
          <w:lang w:val="en-US" w:eastAsia="zh-CN"/>
        </w:rPr>
        <w:t>1.</w:t>
      </w:r>
      <w:r>
        <w:rPr>
          <w:rFonts w:hint="default" w:ascii="Times New Roman" w:hAnsi="Times New Roman" w:eastAsia="宋体" w:cs="Times New Roman"/>
          <w:b w:val="0"/>
          <w:bCs w:val="0"/>
          <w:kern w:val="1"/>
          <w:sz w:val="28"/>
          <w:szCs w:val="28"/>
          <w:highlight w:val="none"/>
        </w:rPr>
        <w:t>技术偏差表（格式）</w:t>
      </w:r>
    </w:p>
    <w:tbl>
      <w:tblPr>
        <w:tblStyle w:val="9"/>
        <w:tblW w:w="9451" w:type="dxa"/>
        <w:tblInd w:w="0" w:type="dxa"/>
        <w:tblLayout w:type="fixed"/>
        <w:tblCellMar>
          <w:top w:w="0" w:type="dxa"/>
          <w:left w:w="108" w:type="dxa"/>
          <w:bottom w:w="0" w:type="dxa"/>
          <w:right w:w="108" w:type="dxa"/>
        </w:tblCellMar>
      </w:tblPr>
      <w:tblGrid>
        <w:gridCol w:w="913"/>
        <w:gridCol w:w="1974"/>
        <w:gridCol w:w="990"/>
        <w:gridCol w:w="2366"/>
        <w:gridCol w:w="2184"/>
        <w:gridCol w:w="1024"/>
      </w:tblGrid>
      <w:tr w14:paraId="6FF05032">
        <w:tblPrEx>
          <w:tblCellMar>
            <w:top w:w="0" w:type="dxa"/>
            <w:left w:w="108" w:type="dxa"/>
            <w:bottom w:w="0" w:type="dxa"/>
            <w:right w:w="108" w:type="dxa"/>
          </w:tblCellMar>
        </w:tblPrEx>
        <w:trPr>
          <w:trHeight w:val="416" w:hRule="atLeast"/>
        </w:trPr>
        <w:tc>
          <w:tcPr>
            <w:tcW w:w="913" w:type="dxa"/>
            <w:tcBorders>
              <w:top w:val="single" w:color="000000" w:sz="4" w:space="0"/>
              <w:left w:val="single" w:color="000000" w:sz="4" w:space="0"/>
              <w:bottom w:val="single" w:color="000000" w:sz="4" w:space="0"/>
              <w:right w:val="single" w:color="000000" w:sz="4" w:space="0"/>
            </w:tcBorders>
            <w:noWrap w:val="0"/>
            <w:vAlign w:val="center"/>
          </w:tcPr>
          <w:p w14:paraId="0C112F2F">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序号</w:t>
            </w:r>
          </w:p>
        </w:tc>
        <w:tc>
          <w:tcPr>
            <w:tcW w:w="1974" w:type="dxa"/>
            <w:tcBorders>
              <w:top w:val="single" w:color="000000" w:sz="4" w:space="0"/>
              <w:left w:val="single" w:color="000000" w:sz="4" w:space="0"/>
              <w:bottom w:val="single" w:color="000000" w:sz="4" w:space="0"/>
              <w:right w:val="single" w:color="000000" w:sz="4" w:space="0"/>
            </w:tcBorders>
            <w:noWrap w:val="0"/>
            <w:vAlign w:val="center"/>
          </w:tcPr>
          <w:p w14:paraId="21C24CA7">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货物名称</w:t>
            </w:r>
          </w:p>
        </w:tc>
        <w:tc>
          <w:tcPr>
            <w:tcW w:w="990" w:type="dxa"/>
            <w:tcBorders>
              <w:top w:val="single" w:color="000000" w:sz="4" w:space="0"/>
              <w:left w:val="single" w:color="000000" w:sz="4" w:space="0"/>
              <w:bottom w:val="single" w:color="000000" w:sz="4" w:space="0"/>
              <w:right w:val="single" w:color="000000" w:sz="4" w:space="0"/>
            </w:tcBorders>
            <w:noWrap w:val="0"/>
            <w:vAlign w:val="center"/>
          </w:tcPr>
          <w:p w14:paraId="21496FC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数量</w:t>
            </w:r>
          </w:p>
        </w:tc>
        <w:tc>
          <w:tcPr>
            <w:tcW w:w="2366" w:type="dxa"/>
            <w:tcBorders>
              <w:top w:val="single" w:color="000000" w:sz="4" w:space="0"/>
              <w:left w:val="single" w:color="000000" w:sz="4" w:space="0"/>
              <w:bottom w:val="single" w:color="000000" w:sz="4" w:space="0"/>
              <w:right w:val="single" w:color="000000" w:sz="4" w:space="0"/>
            </w:tcBorders>
            <w:noWrap w:val="0"/>
            <w:vAlign w:val="center"/>
          </w:tcPr>
          <w:p w14:paraId="29BED7AA">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采购</w:t>
            </w:r>
            <w:r>
              <w:rPr>
                <w:rFonts w:hint="default" w:ascii="Times New Roman" w:hAnsi="Times New Roman" w:eastAsia="宋体" w:cs="Times New Roman"/>
                <w:b w:val="0"/>
                <w:bCs w:val="0"/>
                <w:sz w:val="21"/>
                <w:szCs w:val="21"/>
                <w:highlight w:val="none"/>
              </w:rPr>
              <w:t>文件要求</w:t>
            </w:r>
          </w:p>
        </w:tc>
        <w:tc>
          <w:tcPr>
            <w:tcW w:w="2184" w:type="dxa"/>
            <w:tcBorders>
              <w:top w:val="single" w:color="000000" w:sz="4" w:space="0"/>
              <w:left w:val="single" w:color="000000" w:sz="4" w:space="0"/>
              <w:bottom w:val="single" w:color="000000" w:sz="4" w:space="0"/>
              <w:right w:val="single" w:color="000000" w:sz="4" w:space="0"/>
            </w:tcBorders>
            <w:noWrap w:val="0"/>
            <w:vAlign w:val="center"/>
          </w:tcPr>
          <w:p w14:paraId="0D05F981">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响应</w:t>
            </w:r>
            <w:r>
              <w:rPr>
                <w:rFonts w:hint="default" w:ascii="Times New Roman" w:hAnsi="Times New Roman" w:eastAsia="宋体" w:cs="Times New Roman"/>
                <w:b w:val="0"/>
                <w:bCs w:val="0"/>
                <w:sz w:val="21"/>
                <w:szCs w:val="21"/>
                <w:highlight w:val="none"/>
              </w:rPr>
              <w:t>文件对应</w:t>
            </w:r>
          </w:p>
        </w:tc>
        <w:tc>
          <w:tcPr>
            <w:tcW w:w="1024" w:type="dxa"/>
            <w:tcBorders>
              <w:top w:val="single" w:color="000000" w:sz="4" w:space="0"/>
              <w:left w:val="single" w:color="000000" w:sz="4" w:space="0"/>
              <w:bottom w:val="single" w:color="000000" w:sz="4" w:space="0"/>
              <w:right w:val="single" w:color="000000" w:sz="4" w:space="0"/>
            </w:tcBorders>
            <w:noWrap w:val="0"/>
            <w:vAlign w:val="center"/>
          </w:tcPr>
          <w:p w14:paraId="217D7670">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备注</w:t>
            </w:r>
          </w:p>
        </w:tc>
      </w:tr>
      <w:tr w14:paraId="2DBAF155">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14:paraId="37B3DF8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14:paraId="45674D2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1596736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14:paraId="49B8E3C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14:paraId="1ED543B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14:paraId="1EC5C67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r w14:paraId="1C359E74">
        <w:tblPrEx>
          <w:tblCellMar>
            <w:top w:w="0" w:type="dxa"/>
            <w:left w:w="108" w:type="dxa"/>
            <w:bottom w:w="0" w:type="dxa"/>
            <w:right w:w="108" w:type="dxa"/>
          </w:tblCellMar>
        </w:tblPrEx>
        <w:trPr>
          <w:trHeight w:val="363" w:hRule="atLeast"/>
        </w:trPr>
        <w:tc>
          <w:tcPr>
            <w:tcW w:w="913" w:type="dxa"/>
            <w:tcBorders>
              <w:top w:val="single" w:color="000000" w:sz="4" w:space="0"/>
              <w:left w:val="single" w:color="000000" w:sz="4" w:space="0"/>
              <w:bottom w:val="single" w:color="000000" w:sz="4" w:space="0"/>
              <w:right w:val="single" w:color="000000" w:sz="4" w:space="0"/>
            </w:tcBorders>
            <w:noWrap w:val="0"/>
            <w:vAlign w:val="top"/>
          </w:tcPr>
          <w:p w14:paraId="1FBFC39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74" w:type="dxa"/>
            <w:tcBorders>
              <w:top w:val="single" w:color="000000" w:sz="4" w:space="0"/>
              <w:left w:val="single" w:color="000000" w:sz="4" w:space="0"/>
              <w:bottom w:val="single" w:color="000000" w:sz="4" w:space="0"/>
              <w:right w:val="single" w:color="000000" w:sz="4" w:space="0"/>
            </w:tcBorders>
            <w:noWrap w:val="0"/>
            <w:vAlign w:val="top"/>
          </w:tcPr>
          <w:p w14:paraId="43A7D4F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90" w:type="dxa"/>
            <w:tcBorders>
              <w:top w:val="single" w:color="000000" w:sz="4" w:space="0"/>
              <w:left w:val="single" w:color="000000" w:sz="4" w:space="0"/>
              <w:bottom w:val="single" w:color="000000" w:sz="4" w:space="0"/>
              <w:right w:val="single" w:color="000000" w:sz="4" w:space="0"/>
            </w:tcBorders>
            <w:noWrap w:val="0"/>
            <w:vAlign w:val="top"/>
          </w:tcPr>
          <w:p w14:paraId="5544EAE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366" w:type="dxa"/>
            <w:tcBorders>
              <w:top w:val="single" w:color="000000" w:sz="4" w:space="0"/>
              <w:left w:val="single" w:color="000000" w:sz="4" w:space="0"/>
              <w:bottom w:val="single" w:color="000000" w:sz="4" w:space="0"/>
              <w:right w:val="single" w:color="000000" w:sz="4" w:space="0"/>
            </w:tcBorders>
            <w:noWrap w:val="0"/>
            <w:vAlign w:val="top"/>
          </w:tcPr>
          <w:p w14:paraId="5970B7A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184" w:type="dxa"/>
            <w:tcBorders>
              <w:top w:val="single" w:color="000000" w:sz="4" w:space="0"/>
              <w:left w:val="single" w:color="000000" w:sz="4" w:space="0"/>
              <w:bottom w:val="single" w:color="000000" w:sz="4" w:space="0"/>
              <w:right w:val="single" w:color="000000" w:sz="4" w:space="0"/>
            </w:tcBorders>
            <w:noWrap w:val="0"/>
            <w:vAlign w:val="top"/>
          </w:tcPr>
          <w:p w14:paraId="71E11B0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024" w:type="dxa"/>
            <w:tcBorders>
              <w:top w:val="single" w:color="000000" w:sz="4" w:space="0"/>
              <w:left w:val="single" w:color="000000" w:sz="4" w:space="0"/>
              <w:bottom w:val="single" w:color="000000" w:sz="4" w:space="0"/>
              <w:right w:val="single" w:color="000000" w:sz="4" w:space="0"/>
            </w:tcBorders>
            <w:noWrap w:val="0"/>
            <w:vAlign w:val="top"/>
          </w:tcPr>
          <w:p w14:paraId="74880EA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bl>
    <w:p w14:paraId="1926C75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r>
        <w:rPr>
          <w:rFonts w:hint="default" w:ascii="Times New Roman" w:hAnsi="Times New Roman" w:eastAsia="宋体" w:cs="Times New Roman"/>
          <w:b w:val="0"/>
          <w:bCs w:val="0"/>
          <w:kern w:val="1"/>
          <w:sz w:val="28"/>
          <w:szCs w:val="28"/>
          <w:highlight w:val="none"/>
          <w:lang w:val="en-US" w:eastAsia="zh-CN"/>
        </w:rPr>
        <w:t>2.</w:t>
      </w:r>
      <w:r>
        <w:rPr>
          <w:rFonts w:hint="default" w:ascii="Times New Roman" w:hAnsi="Times New Roman" w:eastAsia="宋体" w:cs="Times New Roman"/>
          <w:b w:val="0"/>
          <w:bCs w:val="0"/>
          <w:kern w:val="1"/>
          <w:sz w:val="28"/>
          <w:szCs w:val="28"/>
          <w:highlight w:val="none"/>
        </w:rPr>
        <w:t>商务偏差表（格式）</w:t>
      </w:r>
    </w:p>
    <w:tbl>
      <w:tblPr>
        <w:tblStyle w:val="9"/>
        <w:tblW w:w="9451" w:type="dxa"/>
        <w:tblInd w:w="0" w:type="dxa"/>
        <w:tblLayout w:type="fixed"/>
        <w:tblCellMar>
          <w:top w:w="0" w:type="dxa"/>
          <w:left w:w="108" w:type="dxa"/>
          <w:bottom w:w="0" w:type="dxa"/>
          <w:right w:w="108" w:type="dxa"/>
        </w:tblCellMar>
      </w:tblPr>
      <w:tblGrid>
        <w:gridCol w:w="925"/>
        <w:gridCol w:w="1997"/>
        <w:gridCol w:w="3092"/>
        <w:gridCol w:w="2471"/>
        <w:gridCol w:w="966"/>
      </w:tblGrid>
      <w:tr w14:paraId="2C3257F2">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17F9623">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序号</w:t>
            </w:r>
          </w:p>
        </w:tc>
        <w:tc>
          <w:tcPr>
            <w:tcW w:w="1997" w:type="dxa"/>
            <w:tcBorders>
              <w:top w:val="single" w:color="000000" w:sz="4" w:space="0"/>
              <w:left w:val="single" w:color="000000" w:sz="4" w:space="0"/>
              <w:bottom w:val="single" w:color="000000" w:sz="4" w:space="0"/>
              <w:right w:val="single" w:color="000000" w:sz="4" w:space="0"/>
            </w:tcBorders>
            <w:noWrap w:val="0"/>
            <w:vAlign w:val="center"/>
          </w:tcPr>
          <w:p w14:paraId="34E3E1E4">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项目名称</w:t>
            </w:r>
          </w:p>
        </w:tc>
        <w:tc>
          <w:tcPr>
            <w:tcW w:w="3092" w:type="dxa"/>
            <w:tcBorders>
              <w:top w:val="single" w:color="000000" w:sz="4" w:space="0"/>
              <w:left w:val="single" w:color="000000" w:sz="4" w:space="0"/>
              <w:bottom w:val="single" w:color="000000" w:sz="4" w:space="0"/>
              <w:right w:val="single" w:color="000000" w:sz="4" w:space="0"/>
            </w:tcBorders>
            <w:noWrap w:val="0"/>
            <w:vAlign w:val="center"/>
          </w:tcPr>
          <w:p w14:paraId="18647FDD">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采购</w:t>
            </w:r>
            <w:r>
              <w:rPr>
                <w:rFonts w:hint="default" w:ascii="Times New Roman" w:hAnsi="Times New Roman" w:eastAsia="宋体" w:cs="Times New Roman"/>
                <w:b w:val="0"/>
                <w:bCs w:val="0"/>
                <w:sz w:val="21"/>
                <w:szCs w:val="21"/>
                <w:highlight w:val="none"/>
              </w:rPr>
              <w:t>文件要求</w:t>
            </w:r>
          </w:p>
        </w:tc>
        <w:tc>
          <w:tcPr>
            <w:tcW w:w="2471" w:type="dxa"/>
            <w:tcBorders>
              <w:top w:val="single" w:color="000000" w:sz="4" w:space="0"/>
              <w:left w:val="single" w:color="000000" w:sz="4" w:space="0"/>
              <w:bottom w:val="single" w:color="000000" w:sz="4" w:space="0"/>
              <w:right w:val="single" w:color="000000" w:sz="4" w:space="0"/>
            </w:tcBorders>
            <w:noWrap w:val="0"/>
            <w:vAlign w:val="center"/>
          </w:tcPr>
          <w:p w14:paraId="34C6DB9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lang w:val="en-US" w:eastAsia="zh-CN"/>
              </w:rPr>
              <w:t>响应</w:t>
            </w:r>
            <w:r>
              <w:rPr>
                <w:rFonts w:hint="default" w:ascii="Times New Roman" w:hAnsi="Times New Roman" w:eastAsia="宋体" w:cs="Times New Roman"/>
                <w:b w:val="0"/>
                <w:bCs w:val="0"/>
                <w:sz w:val="21"/>
                <w:szCs w:val="21"/>
                <w:highlight w:val="none"/>
              </w:rPr>
              <w:t>文件对应</w:t>
            </w:r>
          </w:p>
        </w:tc>
        <w:tc>
          <w:tcPr>
            <w:tcW w:w="966" w:type="dxa"/>
            <w:tcBorders>
              <w:top w:val="single" w:color="000000" w:sz="4" w:space="0"/>
              <w:left w:val="single" w:color="000000" w:sz="4" w:space="0"/>
              <w:bottom w:val="single" w:color="000000" w:sz="4" w:space="0"/>
              <w:right w:val="single" w:color="000000" w:sz="4" w:space="0"/>
            </w:tcBorders>
            <w:noWrap w:val="0"/>
            <w:vAlign w:val="center"/>
          </w:tcPr>
          <w:p w14:paraId="1E6B239B">
            <w:pPr>
              <w:keepNext w:val="0"/>
              <w:keepLines w:val="0"/>
              <w:pageBreakBefore w:val="0"/>
              <w:widowControl w:val="0"/>
              <w:kinsoku/>
              <w:wordWrap w:val="0"/>
              <w:overflowPunct/>
              <w:topLinePunct w:val="0"/>
              <w:autoSpaceDE/>
              <w:autoSpaceDN/>
              <w:bidi w:val="0"/>
              <w:adjustRightInd/>
              <w:snapToGrid/>
              <w:spacing w:line="480" w:lineRule="exact"/>
              <w:ind w:right="0"/>
              <w:jc w:val="both"/>
              <w:rPr>
                <w:rFonts w:hint="default" w:ascii="Times New Roman" w:hAnsi="Times New Roman" w:eastAsia="宋体" w:cs="Times New Roman"/>
                <w:b w:val="0"/>
                <w:bCs w:val="0"/>
                <w:sz w:val="21"/>
                <w:szCs w:val="21"/>
                <w:highlight w:val="none"/>
              </w:rPr>
            </w:pPr>
            <w:r>
              <w:rPr>
                <w:rFonts w:hint="default" w:ascii="Times New Roman" w:hAnsi="Times New Roman" w:eastAsia="宋体" w:cs="Times New Roman"/>
                <w:b w:val="0"/>
                <w:bCs w:val="0"/>
                <w:sz w:val="21"/>
                <w:szCs w:val="21"/>
                <w:highlight w:val="none"/>
              </w:rPr>
              <w:t>备注</w:t>
            </w:r>
          </w:p>
        </w:tc>
      </w:tr>
      <w:tr w14:paraId="015DFA5F">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14:paraId="1BAFAF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14:paraId="6B85DCE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14:paraId="000C1FCC">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14:paraId="374FD76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14:paraId="2DBBC64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r w14:paraId="44A460F9">
        <w:tblPrEx>
          <w:tblCellMar>
            <w:top w:w="0" w:type="dxa"/>
            <w:left w:w="108" w:type="dxa"/>
            <w:bottom w:w="0" w:type="dxa"/>
            <w:right w:w="108" w:type="dxa"/>
          </w:tblCellMar>
        </w:tblPrEx>
        <w:trPr>
          <w:trHeight w:val="332" w:hRule="atLeast"/>
        </w:trPr>
        <w:tc>
          <w:tcPr>
            <w:tcW w:w="925" w:type="dxa"/>
            <w:tcBorders>
              <w:top w:val="single" w:color="000000" w:sz="4" w:space="0"/>
              <w:left w:val="single" w:color="000000" w:sz="4" w:space="0"/>
              <w:bottom w:val="single" w:color="000000" w:sz="4" w:space="0"/>
              <w:right w:val="single" w:color="000000" w:sz="4" w:space="0"/>
            </w:tcBorders>
            <w:noWrap w:val="0"/>
            <w:vAlign w:val="top"/>
          </w:tcPr>
          <w:p w14:paraId="3D6E223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1997" w:type="dxa"/>
            <w:tcBorders>
              <w:top w:val="single" w:color="000000" w:sz="4" w:space="0"/>
              <w:left w:val="single" w:color="000000" w:sz="4" w:space="0"/>
              <w:bottom w:val="single" w:color="000000" w:sz="4" w:space="0"/>
              <w:right w:val="single" w:color="000000" w:sz="4" w:space="0"/>
            </w:tcBorders>
            <w:noWrap w:val="0"/>
            <w:vAlign w:val="top"/>
          </w:tcPr>
          <w:p w14:paraId="0432454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3092" w:type="dxa"/>
            <w:tcBorders>
              <w:top w:val="single" w:color="000000" w:sz="4" w:space="0"/>
              <w:left w:val="single" w:color="000000" w:sz="4" w:space="0"/>
              <w:bottom w:val="single" w:color="000000" w:sz="4" w:space="0"/>
              <w:right w:val="single" w:color="000000" w:sz="4" w:space="0"/>
            </w:tcBorders>
            <w:noWrap w:val="0"/>
            <w:vAlign w:val="top"/>
          </w:tcPr>
          <w:p w14:paraId="43B7D2E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2471" w:type="dxa"/>
            <w:tcBorders>
              <w:top w:val="single" w:color="000000" w:sz="4" w:space="0"/>
              <w:left w:val="single" w:color="000000" w:sz="4" w:space="0"/>
              <w:bottom w:val="single" w:color="000000" w:sz="4" w:space="0"/>
              <w:right w:val="single" w:color="000000" w:sz="4" w:space="0"/>
            </w:tcBorders>
            <w:noWrap w:val="0"/>
            <w:vAlign w:val="top"/>
          </w:tcPr>
          <w:p w14:paraId="5A03A08F">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c>
          <w:tcPr>
            <w:tcW w:w="966" w:type="dxa"/>
            <w:tcBorders>
              <w:top w:val="single" w:color="000000" w:sz="4" w:space="0"/>
              <w:left w:val="single" w:color="000000" w:sz="4" w:space="0"/>
              <w:bottom w:val="single" w:color="000000" w:sz="4" w:space="0"/>
              <w:right w:val="single" w:color="000000" w:sz="4" w:space="0"/>
            </w:tcBorders>
            <w:noWrap w:val="0"/>
            <w:vAlign w:val="top"/>
          </w:tcPr>
          <w:p w14:paraId="70A4714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kern w:val="1"/>
                <w:sz w:val="28"/>
                <w:szCs w:val="28"/>
                <w:highlight w:val="none"/>
              </w:rPr>
            </w:pPr>
          </w:p>
        </w:tc>
      </w:tr>
    </w:tbl>
    <w:p w14:paraId="038ADAF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三</w:t>
      </w:r>
      <w:r>
        <w:rPr>
          <w:rFonts w:hint="default" w:ascii="Times New Roman" w:hAnsi="Times New Roman" w:eastAsia="宋体" w:cs="Times New Roman"/>
          <w:b/>
          <w:bCs/>
          <w:kern w:val="1"/>
          <w:sz w:val="28"/>
          <w:szCs w:val="28"/>
          <w:highlight w:val="none"/>
          <w:lang w:eastAsia="zh-CN"/>
        </w:rPr>
        <w:t xml:space="preserve">）资格审查资料 </w:t>
      </w:r>
    </w:p>
    <w:p w14:paraId="209ADEA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472" w:firstLineChars="200"/>
        <w:textAlignment w:val="auto"/>
        <w:rPr>
          <w:rFonts w:hint="default" w:ascii="Times New Roman" w:hAnsi="Times New Roman" w:eastAsia="宋体" w:cs="Times New Roman"/>
          <w:b w:val="0"/>
          <w:bCs w:val="0"/>
          <w:sz w:val="28"/>
          <w:szCs w:val="28"/>
          <w:highlight w:val="none"/>
        </w:rPr>
      </w:pPr>
      <w:r>
        <w:rPr>
          <w:rFonts w:hint="default" w:ascii="Times New Roman" w:hAnsi="Times New Roman" w:eastAsia="宋体" w:cs="Times New Roman"/>
          <w:b w:val="0"/>
          <w:bCs w:val="0"/>
          <w:spacing w:val="-22"/>
          <w:sz w:val="28"/>
          <w:szCs w:val="28"/>
          <w:highlight w:val="none"/>
          <w:lang w:val="en-US" w:eastAsia="zh-CN"/>
        </w:rPr>
        <w:t>1.</w:t>
      </w:r>
      <w:r>
        <w:rPr>
          <w:rFonts w:hint="default" w:ascii="Times New Roman" w:hAnsi="Times New Roman" w:eastAsia="宋体" w:cs="Times New Roman"/>
          <w:b w:val="0"/>
          <w:bCs w:val="0"/>
          <w:spacing w:val="-22"/>
          <w:sz w:val="28"/>
          <w:szCs w:val="28"/>
          <w:highlight w:val="none"/>
        </w:rPr>
        <w:t>基</w:t>
      </w:r>
      <w:r>
        <w:rPr>
          <w:rFonts w:hint="default" w:ascii="Times New Roman" w:hAnsi="Times New Roman" w:eastAsia="宋体" w:cs="Times New Roman"/>
          <w:b w:val="0"/>
          <w:bCs w:val="0"/>
          <w:spacing w:val="-38"/>
          <w:sz w:val="28"/>
          <w:szCs w:val="28"/>
          <w:highlight w:val="none"/>
        </w:rPr>
        <w:t xml:space="preserve"> </w:t>
      </w:r>
      <w:r>
        <w:rPr>
          <w:rFonts w:hint="default" w:ascii="Times New Roman" w:hAnsi="Times New Roman" w:eastAsia="宋体" w:cs="Times New Roman"/>
          <w:b w:val="0"/>
          <w:bCs w:val="0"/>
          <w:spacing w:val="-22"/>
          <w:sz w:val="28"/>
          <w:szCs w:val="28"/>
          <w:highlight w:val="none"/>
        </w:rPr>
        <w:t>本</w:t>
      </w:r>
      <w:r>
        <w:rPr>
          <w:rFonts w:hint="default" w:ascii="Times New Roman" w:hAnsi="Times New Roman" w:eastAsia="宋体" w:cs="Times New Roman"/>
          <w:b w:val="0"/>
          <w:bCs w:val="0"/>
          <w:spacing w:val="-37"/>
          <w:sz w:val="28"/>
          <w:szCs w:val="28"/>
          <w:highlight w:val="none"/>
        </w:rPr>
        <w:t xml:space="preserve"> </w:t>
      </w:r>
      <w:r>
        <w:rPr>
          <w:rFonts w:hint="default" w:ascii="Times New Roman" w:hAnsi="Times New Roman" w:eastAsia="宋体" w:cs="Times New Roman"/>
          <w:b w:val="0"/>
          <w:bCs w:val="0"/>
          <w:spacing w:val="-22"/>
          <w:sz w:val="28"/>
          <w:szCs w:val="28"/>
          <w:highlight w:val="none"/>
        </w:rPr>
        <w:t>情</w:t>
      </w:r>
      <w:r>
        <w:rPr>
          <w:rFonts w:hint="default" w:ascii="Times New Roman" w:hAnsi="Times New Roman" w:eastAsia="宋体" w:cs="Times New Roman"/>
          <w:b w:val="0"/>
          <w:bCs w:val="0"/>
          <w:spacing w:val="-36"/>
          <w:sz w:val="28"/>
          <w:szCs w:val="28"/>
          <w:highlight w:val="none"/>
        </w:rPr>
        <w:t xml:space="preserve"> </w:t>
      </w:r>
      <w:r>
        <w:rPr>
          <w:rFonts w:hint="default" w:ascii="Times New Roman" w:hAnsi="Times New Roman" w:eastAsia="宋体" w:cs="Times New Roman"/>
          <w:b w:val="0"/>
          <w:bCs w:val="0"/>
          <w:spacing w:val="-22"/>
          <w:sz w:val="28"/>
          <w:szCs w:val="28"/>
          <w:highlight w:val="none"/>
        </w:rPr>
        <w:t>况</w:t>
      </w:r>
    </w:p>
    <w:p w14:paraId="26CE5BC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color w:val="auto"/>
          <w:kern w:val="1"/>
          <w:sz w:val="28"/>
          <w:szCs w:val="28"/>
          <w:highlight w:val="none"/>
        </w:rPr>
      </w:pPr>
      <w:r>
        <w:rPr>
          <w:rFonts w:hint="default" w:ascii="Times New Roman" w:hAnsi="Times New Roman" w:eastAsia="宋体" w:cs="Times New Roman"/>
          <w:b w:val="0"/>
          <w:bCs w:val="0"/>
          <w:color w:val="auto"/>
          <w:kern w:val="1"/>
          <w:sz w:val="28"/>
          <w:szCs w:val="28"/>
          <w:highlight w:val="none"/>
        </w:rPr>
        <w:t>依法设立的证明材料</w:t>
      </w:r>
      <w:r>
        <w:rPr>
          <w:rFonts w:hint="default" w:ascii="Times New Roman" w:hAnsi="Times New Roman" w:eastAsia="宋体" w:cs="Times New Roman"/>
          <w:b w:val="0"/>
          <w:bCs w:val="0"/>
          <w:color w:val="auto"/>
          <w:kern w:val="1"/>
          <w:sz w:val="28"/>
          <w:szCs w:val="28"/>
          <w:highlight w:val="none"/>
          <w:lang w:eastAsia="zh-CN"/>
        </w:rPr>
        <w:t>。</w:t>
      </w:r>
      <w:r>
        <w:rPr>
          <w:rFonts w:hint="default" w:ascii="Times New Roman" w:hAnsi="Times New Roman" w:eastAsia="宋体" w:cs="Times New Roman"/>
          <w:b w:val="0"/>
          <w:bCs w:val="0"/>
          <w:color w:val="auto"/>
          <w:kern w:val="1"/>
          <w:sz w:val="28"/>
          <w:szCs w:val="28"/>
          <w:highlight w:val="none"/>
        </w:rPr>
        <w:t>供应商应提供市场监管部门或其他行政机关颁发的可以合法开展业务的执照或证书复印件</w:t>
      </w:r>
    </w:p>
    <w:p w14:paraId="15E5CB5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资质要求证明材料。供应商应提供相关资质证书副本的复印件，以证明供应商具有承担本项目要求的资质。</w:t>
      </w:r>
    </w:p>
    <w:p w14:paraId="0416E07F">
      <w:pPr>
        <w:pStyle w:val="5"/>
        <w:ind w:firstLine="560" w:firstLineChars="200"/>
        <w:rPr>
          <w:rFonts w:hint="default"/>
          <w:lang w:val="en-US" w:eastAsia="zh-CN"/>
        </w:rPr>
      </w:pPr>
      <w:r>
        <w:rPr>
          <w:rFonts w:hint="eastAsia" w:ascii="Times New Roman" w:hAnsi="Times New Roman" w:cs="Times New Roman"/>
          <w:b w:val="0"/>
          <w:bCs w:val="0"/>
          <w:sz w:val="28"/>
          <w:szCs w:val="28"/>
          <w:highlight w:val="none"/>
          <w:lang w:val="en-US" w:eastAsia="zh-CN"/>
        </w:rPr>
        <w:t>相关业绩材料。</w:t>
      </w:r>
    </w:p>
    <w:p w14:paraId="69A66AF6">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宋体" w:cs="Times New Roman"/>
          <w:b w:val="0"/>
          <w:bCs w:val="0"/>
          <w:sz w:val="28"/>
          <w:szCs w:val="28"/>
          <w:highlight w:val="none"/>
          <w:lang w:val="en-US" w:eastAsia="zh-CN"/>
        </w:rPr>
        <w:t>2.</w:t>
      </w:r>
      <w:r>
        <w:rPr>
          <w:rFonts w:hint="eastAsia" w:ascii="Times New Roman" w:hAnsi="Times New Roman" w:eastAsia="宋体" w:cs="Times New Roman"/>
          <w:b w:val="0"/>
          <w:bCs w:val="0"/>
          <w:sz w:val="28"/>
          <w:szCs w:val="28"/>
          <w:lang w:val="en-US" w:eastAsia="zh-CN"/>
        </w:rPr>
        <w:t>承诺书。对采购文件第</w:t>
      </w:r>
      <w:r>
        <w:rPr>
          <w:rFonts w:hint="eastAsia" w:ascii="Times New Roman" w:hAnsi="Times New Roman" w:eastAsia="宋体" w:cs="Times New Roman"/>
          <w:b w:val="0"/>
          <w:bCs w:val="0"/>
          <w:color w:val="auto"/>
          <w:kern w:val="1"/>
          <w:sz w:val="28"/>
          <w:szCs w:val="28"/>
          <w:highlight w:val="none"/>
          <w:lang w:val="en-US" w:eastAsia="zh-CN"/>
        </w:rPr>
        <w:t xml:space="preserve">一章中 </w:t>
      </w:r>
      <w:r>
        <w:rPr>
          <w:rFonts w:hint="default" w:ascii="Times New Roman" w:hAnsi="Times New Roman" w:eastAsia="宋体" w:cs="Times New Roman"/>
          <w:b w:val="0"/>
          <w:bCs w:val="0"/>
          <w:color w:val="auto"/>
          <w:kern w:val="1"/>
          <w:sz w:val="28"/>
          <w:szCs w:val="28"/>
          <w:highlight w:val="none"/>
          <w:lang w:val="en-US" w:eastAsia="zh-CN"/>
        </w:rPr>
        <w:t>三、供应商资格要求</w:t>
      </w:r>
      <w:r>
        <w:rPr>
          <w:rFonts w:hint="eastAsia" w:ascii="Times New Roman" w:hAnsi="Times New Roman" w:eastAsia="宋体" w:cs="Times New Roman"/>
          <w:b w:val="0"/>
          <w:bCs w:val="0"/>
          <w:color w:val="auto"/>
          <w:kern w:val="1"/>
          <w:sz w:val="28"/>
          <w:szCs w:val="28"/>
          <w:highlight w:val="none"/>
          <w:lang w:val="en-US" w:eastAsia="zh-CN"/>
        </w:rPr>
        <w:t xml:space="preserve">  </w:t>
      </w:r>
    </w:p>
    <w:p w14:paraId="0582B7C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eastAsia" w:ascii="Times New Roman" w:hAnsi="Times New Roman" w:eastAsia="宋体" w:cs="Times New Roman"/>
          <w:b w:val="0"/>
          <w:bCs w:val="0"/>
          <w:sz w:val="28"/>
          <w:szCs w:val="28"/>
          <w:lang w:val="en-US" w:eastAsia="zh-CN"/>
        </w:rPr>
        <w:t>第（二）（三）项做出承诺，承诺书须盖单位章，不需提供其他材料。</w:t>
      </w:r>
    </w:p>
    <w:p w14:paraId="3B9E601F">
      <w:pPr>
        <w:pStyle w:val="2"/>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3.</w:t>
      </w:r>
      <w:r>
        <w:rPr>
          <w:rFonts w:hint="eastAsia" w:ascii="Times New Roman" w:hAnsi="Times New Roman" w:cs="Times New Roman"/>
          <w:b w:val="0"/>
          <w:bCs w:val="0"/>
          <w:sz w:val="28"/>
          <w:szCs w:val="28"/>
          <w:highlight w:val="none"/>
          <w:lang w:val="en-US" w:eastAsia="zh-CN"/>
        </w:rPr>
        <w:t>其他需要提供的资料。</w:t>
      </w:r>
    </w:p>
    <w:p w14:paraId="27A6D2D9">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四</w:t>
      </w:r>
      <w:r>
        <w:rPr>
          <w:rFonts w:hint="default" w:ascii="Times New Roman" w:hAnsi="Times New Roman" w:eastAsia="宋体" w:cs="Times New Roman"/>
          <w:b/>
          <w:bCs/>
          <w:kern w:val="1"/>
          <w:sz w:val="28"/>
          <w:szCs w:val="28"/>
          <w:highlight w:val="none"/>
          <w:lang w:eastAsia="zh-CN"/>
        </w:rPr>
        <w:t>）响应方案</w:t>
      </w:r>
    </w:p>
    <w:p w14:paraId="48BF07A8">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1.货物质量标准或技术性能指标的详细描述</w:t>
      </w:r>
    </w:p>
    <w:p w14:paraId="387DB0F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(注：主要材料和关键部件有外购的，应在此部分详细说明外购的主要材料和关键部件名称、型号规格或主要技术性能参数、制造商名称、制造商地址等信息。)</w:t>
      </w:r>
    </w:p>
    <w:p w14:paraId="0BA8E853">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2.技术支持资料</w:t>
      </w:r>
    </w:p>
    <w:p w14:paraId="5C323DA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none"/>
          <w:lang w:val="en-US" w:eastAsia="zh-CN"/>
        </w:rPr>
      </w:pPr>
      <w:r>
        <w:rPr>
          <w:rFonts w:hint="default" w:ascii="Times New Roman" w:hAnsi="Times New Roman" w:eastAsia="宋体" w:cs="Times New Roman"/>
          <w:b w:val="0"/>
          <w:bCs w:val="0"/>
          <w:sz w:val="28"/>
          <w:szCs w:val="28"/>
          <w:highlight w:val="none"/>
          <w:lang w:val="en-US" w:eastAsia="zh-CN"/>
        </w:rPr>
        <w:t>3.相关服务计划</w:t>
      </w:r>
    </w:p>
    <w:p w14:paraId="42CFB7EB">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kern w:val="1"/>
          <w:sz w:val="28"/>
          <w:szCs w:val="28"/>
          <w:highlight w:val="none"/>
          <w:lang w:eastAsia="zh-CN"/>
        </w:rPr>
      </w:pPr>
      <w:r>
        <w:rPr>
          <w:rFonts w:hint="default" w:ascii="Times New Roman" w:hAnsi="Times New Roman" w:eastAsia="宋体" w:cs="Times New Roman"/>
          <w:b/>
          <w:bCs/>
          <w:kern w:val="1"/>
          <w:sz w:val="28"/>
          <w:szCs w:val="28"/>
          <w:highlight w:val="none"/>
          <w:lang w:eastAsia="zh-CN"/>
        </w:rPr>
        <w:t>（</w:t>
      </w:r>
      <w:r>
        <w:rPr>
          <w:rFonts w:hint="eastAsia" w:ascii="Times New Roman" w:hAnsi="Times New Roman" w:eastAsia="宋体" w:cs="Times New Roman"/>
          <w:b/>
          <w:bCs/>
          <w:kern w:val="1"/>
          <w:sz w:val="28"/>
          <w:szCs w:val="28"/>
          <w:highlight w:val="none"/>
          <w:lang w:val="en-US" w:eastAsia="zh-CN"/>
        </w:rPr>
        <w:t>五</w:t>
      </w:r>
      <w:r>
        <w:rPr>
          <w:rFonts w:hint="default" w:ascii="Times New Roman" w:hAnsi="Times New Roman" w:eastAsia="宋体" w:cs="Times New Roman"/>
          <w:b/>
          <w:bCs/>
          <w:kern w:val="1"/>
          <w:sz w:val="28"/>
          <w:szCs w:val="28"/>
          <w:highlight w:val="none"/>
          <w:lang w:eastAsia="zh-CN"/>
        </w:rPr>
        <w:t>）其他资料</w:t>
      </w:r>
    </w:p>
    <w:p w14:paraId="23983FB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green"/>
          <w:lang w:val="en-US" w:eastAsia="zh-CN"/>
        </w:rPr>
      </w:pPr>
      <w:r>
        <w:rPr>
          <w:rFonts w:hint="eastAsia" w:ascii="Times New Roman" w:hAnsi="Times New Roman" w:eastAsia="宋体" w:cs="Times New Roman"/>
          <w:b w:val="0"/>
          <w:bCs w:val="0"/>
          <w:sz w:val="28"/>
          <w:szCs w:val="28"/>
          <w:highlight w:val="none"/>
          <w:lang w:val="en-US" w:eastAsia="zh-CN"/>
        </w:rPr>
        <w:t>如供应商所供物资名称、规格型号等，与采购物资不一致的，须做出说明</w:t>
      </w:r>
      <w:r>
        <w:rPr>
          <w:rFonts w:hint="default" w:ascii="Times New Roman" w:hAnsi="Times New Roman" w:eastAsia="宋体" w:cs="Times New Roman"/>
          <w:b w:val="0"/>
          <w:bCs w:val="0"/>
          <w:sz w:val="28"/>
          <w:szCs w:val="28"/>
          <w:highlight w:val="none"/>
          <w:lang w:val="en-US" w:eastAsia="zh-CN"/>
        </w:rPr>
        <w:t>。</w:t>
      </w:r>
    </w:p>
    <w:p w14:paraId="3783E9B7">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highlight w:val="green"/>
          <w:lang w:val="en-US" w:eastAsia="zh-CN"/>
        </w:rPr>
      </w:pPr>
    </w:p>
    <w:p w14:paraId="056A983C">
      <w:pPr>
        <w:keepNext w:val="0"/>
        <w:keepLines w:val="0"/>
        <w:pageBreakBefore w:val="0"/>
        <w:widowControl w:val="0"/>
        <w:kinsoku/>
        <w:wordWrap/>
        <w:overflowPunct/>
        <w:topLinePunct w:val="0"/>
        <w:autoSpaceDE/>
        <w:autoSpaceDN/>
        <w:bidi w:val="0"/>
        <w:adjustRightInd/>
        <w:snapToGrid/>
        <w:spacing w:line="560" w:lineRule="exact"/>
        <w:ind w:firstLine="723" w:firstLineChars="200"/>
        <w:jc w:val="center"/>
        <w:textAlignment w:val="auto"/>
        <w:rPr>
          <w:rFonts w:ascii="宋体" w:hAnsi="宋体" w:eastAsia="宋体" w:cs="宋体"/>
          <w:b/>
          <w:bCs/>
          <w:sz w:val="36"/>
          <w:szCs w:val="36"/>
          <w:highlight w:val="none"/>
        </w:rPr>
      </w:pPr>
      <w:r>
        <w:rPr>
          <w:rFonts w:hint="eastAsia" w:ascii="宋体" w:hAnsi="宋体" w:eastAsia="宋体" w:cs="宋体"/>
          <w:b/>
          <w:bCs/>
          <w:sz w:val="36"/>
          <w:szCs w:val="36"/>
          <w:highlight w:val="none"/>
        </w:rPr>
        <w:t>第四章 采购内容及技术要求</w:t>
      </w:r>
    </w:p>
    <w:p w14:paraId="2E7CE10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highlight w:val="none"/>
        </w:rPr>
      </w:pPr>
    </w:p>
    <w:p w14:paraId="1189115A">
      <w:pPr>
        <w:wordWrap w:val="0"/>
        <w:spacing w:line="480" w:lineRule="exact"/>
        <w:ind w:firstLine="560" w:firstLineChars="200"/>
        <w:rPr>
          <w:rFonts w:ascii="Times New Roman" w:hAnsi="Times New Roman" w:eastAsia="宋体" w:cs="Times New Roman"/>
          <w:sz w:val="28"/>
          <w:szCs w:val="28"/>
        </w:rPr>
      </w:pPr>
      <w:r>
        <w:rPr>
          <w:rFonts w:ascii="Times New Roman" w:hAnsi="Times New Roman" w:eastAsia="宋体" w:cs="Times New Roman"/>
          <w:sz w:val="28"/>
          <w:szCs w:val="28"/>
        </w:rPr>
        <w:t>（一）采购范围</w:t>
      </w:r>
      <w:r>
        <w:rPr>
          <w:rFonts w:hint="eastAsia" w:ascii="Times New Roman" w:hAnsi="Times New Roman" w:eastAsia="宋体" w:cs="Times New Roman"/>
          <w:sz w:val="28"/>
          <w:szCs w:val="28"/>
        </w:rPr>
        <w:t>：矿用防爆电磁阀一批，详见</w:t>
      </w:r>
      <w:r>
        <w:rPr>
          <w:rFonts w:hint="eastAsia" w:ascii="Times New Roman" w:hAnsi="Times New Roman" w:eastAsia="宋体" w:cs="Times New Roman"/>
          <w:sz w:val="28"/>
          <w:szCs w:val="28"/>
          <w:lang w:val="en-US" w:eastAsia="zh-CN"/>
        </w:rPr>
        <w:t>相关询比采购明细</w:t>
      </w:r>
      <w:r>
        <w:rPr>
          <w:rFonts w:hint="eastAsia" w:ascii="Times New Roman" w:hAnsi="Times New Roman" w:eastAsia="宋体" w:cs="Times New Roman"/>
          <w:sz w:val="28"/>
          <w:szCs w:val="28"/>
        </w:rPr>
        <w:t>。</w:t>
      </w:r>
    </w:p>
    <w:p w14:paraId="6FC34973">
      <w:pPr>
        <w:wordWrap w:val="0"/>
        <w:spacing w:line="480" w:lineRule="exact"/>
        <w:ind w:firstLine="560" w:firstLineChars="200"/>
        <w:rPr>
          <w:rFonts w:ascii="Times New Roman" w:hAnsi="Times New Roman" w:eastAsia="宋体" w:cs="Times New Roman"/>
          <w:color w:val="FF0000"/>
          <w:sz w:val="28"/>
          <w:szCs w:val="28"/>
        </w:rPr>
      </w:pPr>
      <w:r>
        <w:rPr>
          <w:rFonts w:ascii="Times New Roman" w:hAnsi="Times New Roman" w:eastAsia="宋体" w:cs="Times New Roman"/>
          <w:sz w:val="28"/>
          <w:szCs w:val="28"/>
        </w:rPr>
        <w:t>（二）交货期：</w:t>
      </w:r>
      <w:r>
        <w:rPr>
          <w:rFonts w:hint="eastAsia" w:ascii="Times New Roman" w:hAnsi="Times New Roman" w:eastAsia="宋体" w:cs="Times New Roman"/>
          <w:sz w:val="28"/>
          <w:szCs w:val="28"/>
        </w:rPr>
        <w:t>合同生效后</w:t>
      </w:r>
      <w:r>
        <w:rPr>
          <w:rFonts w:hint="eastAsia" w:ascii="Times New Roman" w:hAnsi="Times New Roman" w:eastAsia="宋体" w:cs="Times New Roman"/>
          <w:sz w:val="28"/>
          <w:szCs w:val="28"/>
          <w:lang w:val="en-US" w:eastAsia="zh-CN"/>
        </w:rPr>
        <w:t>3</w:t>
      </w:r>
      <w:r>
        <w:rPr>
          <w:rFonts w:hint="eastAsia" w:ascii="Times New Roman" w:hAnsi="Times New Roman" w:eastAsia="宋体" w:cs="Times New Roman"/>
          <w:sz w:val="28"/>
          <w:szCs w:val="28"/>
        </w:rPr>
        <w:t>0天内。</w:t>
      </w:r>
    </w:p>
    <w:p w14:paraId="55138EDA">
      <w:pPr>
        <w:spacing w:line="480" w:lineRule="exact"/>
        <w:ind w:firstLine="560" w:firstLineChars="200"/>
        <w:rPr>
          <w:rFonts w:ascii="仿宋_GB2312" w:hAnsi="仿宋_GB2312" w:eastAsia="仿宋_GB2312" w:cs="仿宋_GB2312"/>
          <w:sz w:val="28"/>
          <w:szCs w:val="28"/>
        </w:rPr>
      </w:pPr>
      <w:r>
        <w:rPr>
          <w:rFonts w:ascii="Times New Roman" w:hAnsi="Times New Roman" w:eastAsia="宋体" w:cs="Times New Roman"/>
          <w:sz w:val="28"/>
          <w:szCs w:val="28"/>
        </w:rPr>
        <w:t>（三）交货地点：</w:t>
      </w:r>
      <w:r>
        <w:rPr>
          <w:rFonts w:hint="eastAsia" w:ascii="Times New Roman" w:hAnsi="Times New Roman" w:eastAsia="宋体" w:cs="Times New Roman"/>
          <w:sz w:val="28"/>
          <w:szCs w:val="28"/>
        </w:rPr>
        <w:t>淮北矿业股份有限公司下属各矿厂。</w:t>
      </w:r>
    </w:p>
    <w:p w14:paraId="1A8C9C1A">
      <w:pPr>
        <w:wordWrap w:val="0"/>
        <w:spacing w:line="480" w:lineRule="exact"/>
        <w:ind w:firstLine="560" w:firstLineChars="200"/>
        <w:rPr>
          <w:rFonts w:ascii="宋体" w:hAnsi="宋体" w:eastAsia="宋体" w:cs="宋体"/>
          <w:sz w:val="28"/>
          <w:szCs w:val="28"/>
        </w:rPr>
      </w:pPr>
      <w:r>
        <w:rPr>
          <w:rFonts w:hint="eastAsia" w:ascii="宋体" w:hAnsi="宋体" w:eastAsia="宋体" w:cs="宋体"/>
          <w:sz w:val="28"/>
          <w:szCs w:val="28"/>
        </w:rPr>
        <w:t>（四）货物质量标准或主要技术性能指标：所供货物为全新原厂正品，无翻新、改制；产品质量符合国家及行业现行有效标准，无国标、行标的执行生产厂家正式出厂标准，各项技术参数满足</w:t>
      </w:r>
      <w:r>
        <w:rPr>
          <w:rFonts w:hint="eastAsia" w:ascii="宋体" w:hAnsi="宋体" w:eastAsia="宋体" w:cs="宋体"/>
          <w:sz w:val="28"/>
          <w:szCs w:val="28"/>
          <w:lang w:val="en-US" w:eastAsia="zh-CN"/>
        </w:rPr>
        <w:t>现场使用</w:t>
      </w:r>
      <w:r>
        <w:rPr>
          <w:rFonts w:hint="eastAsia" w:ascii="宋体" w:hAnsi="宋体" w:eastAsia="宋体" w:cs="宋体"/>
          <w:sz w:val="28"/>
          <w:szCs w:val="28"/>
        </w:rPr>
        <w:t>要求，保证与现场设备</w:t>
      </w:r>
      <w:r>
        <w:rPr>
          <w:rFonts w:hint="eastAsia" w:ascii="宋体" w:hAnsi="宋体" w:eastAsia="宋体" w:cs="宋体"/>
          <w:sz w:val="28"/>
          <w:szCs w:val="28"/>
          <w:lang w:val="en-US" w:eastAsia="zh-CN"/>
        </w:rPr>
        <w:t>配件</w:t>
      </w:r>
      <w:r>
        <w:rPr>
          <w:rFonts w:hint="eastAsia" w:ascii="宋体" w:hAnsi="宋体" w:eastAsia="宋体" w:cs="宋体"/>
          <w:sz w:val="28"/>
          <w:szCs w:val="28"/>
        </w:rPr>
        <w:t>匹配互换。</w:t>
      </w:r>
    </w:p>
    <w:p w14:paraId="46D82B42">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其他</w:t>
      </w:r>
    </w:p>
    <w:p w14:paraId="0DAC76EF">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文件未提到的部分，必须满足国家或行业标准、强制认证要求。</w:t>
      </w:r>
    </w:p>
    <w:p w14:paraId="4612927B">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（二）报价明细必须合理且成序列，如果偏离市场或报价物资明细覆盖面未达到100%，评标委员会将否决其</w:t>
      </w:r>
      <w:r>
        <w:rPr>
          <w:rFonts w:hint="eastAsia" w:ascii="仿宋_GB2312" w:hAnsi="仿宋_GB2312" w:eastAsia="仿宋_GB2312" w:cs="仿宋_GB2312"/>
          <w:sz w:val="32"/>
          <w:szCs w:val="32"/>
          <w:highlight w:val="none"/>
          <w:lang w:val="en-US" w:eastAsia="zh-CN"/>
        </w:rPr>
        <w:t>参与</w:t>
      </w:r>
      <w:r>
        <w:rPr>
          <w:rFonts w:hint="eastAsia" w:ascii="仿宋_GB2312" w:hAnsi="仿宋_GB2312" w:eastAsia="仿宋_GB2312" w:cs="仿宋_GB2312"/>
          <w:sz w:val="32"/>
          <w:szCs w:val="32"/>
          <w:highlight w:val="none"/>
        </w:rPr>
        <w:t>资格。</w:t>
      </w:r>
    </w:p>
    <w:p w14:paraId="1321E6FC">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w:t>
      </w:r>
      <w:r>
        <w:rPr>
          <w:rFonts w:hint="eastAsia" w:ascii="仿宋_GB2312" w:hAnsi="仿宋_GB2312" w:eastAsia="仿宋_GB2312" w:cs="仿宋_GB2312"/>
          <w:sz w:val="32"/>
          <w:szCs w:val="32"/>
          <w:highlight w:val="none"/>
          <w:lang w:val="en-US" w:eastAsia="zh-CN"/>
        </w:rPr>
        <w:t>响应</w:t>
      </w:r>
      <w:r>
        <w:rPr>
          <w:rFonts w:hint="eastAsia" w:ascii="仿宋_GB2312" w:hAnsi="仿宋_GB2312" w:eastAsia="仿宋_GB2312" w:cs="仿宋_GB2312"/>
          <w:sz w:val="32"/>
          <w:szCs w:val="32"/>
          <w:highlight w:val="none"/>
        </w:rPr>
        <w:t>文件必须实质性响应技术规格要求。不得简单复制</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文件内容，必须对技术指标进行详细描述。</w:t>
      </w:r>
    </w:p>
    <w:p w14:paraId="550BE2A4">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所列货物规格型号、品牌仅供参考，</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货物是否响应</w:t>
      </w:r>
      <w:r>
        <w:rPr>
          <w:rFonts w:hint="eastAsia" w:ascii="仿宋_GB2312" w:hAnsi="仿宋_GB2312" w:eastAsia="仿宋_GB2312" w:cs="仿宋_GB2312"/>
          <w:sz w:val="32"/>
          <w:szCs w:val="32"/>
          <w:highlight w:val="none"/>
          <w:lang w:val="en-US" w:eastAsia="zh-CN"/>
        </w:rPr>
        <w:t>谈判采购</w:t>
      </w:r>
      <w:r>
        <w:rPr>
          <w:rFonts w:hint="eastAsia" w:ascii="仿宋_GB2312" w:hAnsi="仿宋_GB2312" w:eastAsia="仿宋_GB2312" w:cs="仿宋_GB2312"/>
          <w:sz w:val="32"/>
          <w:szCs w:val="32"/>
          <w:highlight w:val="none"/>
        </w:rPr>
        <w:t>文件要求以是否满足技术要求为判断依据。如果必须引用某一供应者的技术规格才能准确或清楚的说明拟</w:t>
      </w:r>
      <w:r>
        <w:rPr>
          <w:rFonts w:hint="eastAsia" w:ascii="仿宋_GB2312" w:hAnsi="仿宋_GB2312" w:eastAsia="仿宋_GB2312" w:cs="仿宋_GB2312"/>
          <w:sz w:val="32"/>
          <w:szCs w:val="32"/>
          <w:highlight w:val="none"/>
          <w:lang w:val="en-US" w:eastAsia="zh-CN"/>
        </w:rPr>
        <w:t>采购</w:t>
      </w:r>
      <w:r>
        <w:rPr>
          <w:rFonts w:hint="eastAsia" w:ascii="仿宋_GB2312" w:hAnsi="仿宋_GB2312" w:eastAsia="仿宋_GB2312" w:cs="仿宋_GB2312"/>
          <w:sz w:val="32"/>
          <w:szCs w:val="32"/>
          <w:highlight w:val="none"/>
        </w:rPr>
        <w:t>货物的技术规格时，均指参照或相当于。</w:t>
      </w:r>
    </w:p>
    <w:p w14:paraId="52E4BA66">
      <w:pPr>
        <w:rPr>
          <w:rFonts w:hint="eastAsia" w:ascii="仿宋_GB2312" w:hAnsi="仿宋_GB2312" w:eastAsia="仿宋_GB2312" w:cs="仿宋_GB2312"/>
          <w:sz w:val="32"/>
          <w:szCs w:val="32"/>
          <w:highlight w:val="none"/>
        </w:rPr>
      </w:pPr>
    </w:p>
    <w:p w14:paraId="5944B08E">
      <w:pPr>
        <w:keepNext w:val="0"/>
        <w:keepLines w:val="0"/>
        <w:pageBreakBefore w:val="0"/>
        <w:wordWrap/>
        <w:overflowPunct/>
        <w:topLinePunct w:val="0"/>
        <w:bidi w:val="0"/>
        <w:spacing w:line="560" w:lineRule="exact"/>
        <w:jc w:val="both"/>
        <w:rPr>
          <w:rFonts w:hint="eastAsia" w:ascii="宋体" w:hAnsi="宋体" w:eastAsia="宋体" w:cs="宋体"/>
          <w:b/>
          <w:bCs/>
          <w:sz w:val="36"/>
          <w:szCs w:val="36"/>
          <w:highlight w:val="none"/>
        </w:rPr>
      </w:pPr>
    </w:p>
    <w:p w14:paraId="2B9EEA22">
      <w:pPr>
        <w:pStyle w:val="2"/>
        <w:rPr>
          <w:rFonts w:hint="eastAsia"/>
          <w:highlight w:val="none"/>
        </w:rPr>
      </w:pPr>
    </w:p>
    <w:p w14:paraId="7F35DFB9">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14:paraId="7AF0946B">
      <w:pPr>
        <w:keepNext w:val="0"/>
        <w:keepLines w:val="0"/>
        <w:pageBreakBefore w:val="0"/>
        <w:wordWrap/>
        <w:overflowPunct/>
        <w:topLinePunct w:val="0"/>
        <w:bidi w:val="0"/>
        <w:spacing w:line="560" w:lineRule="exact"/>
        <w:ind w:firstLine="723" w:firstLineChars="200"/>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第五章 合同条款及要求</w:t>
      </w:r>
    </w:p>
    <w:p w14:paraId="2BA41BD6">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953ED9D">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eastAsia="zh-CN"/>
        </w:rPr>
        <w:t>（</w:t>
      </w:r>
      <w:r>
        <w:rPr>
          <w:rFonts w:hint="default" w:ascii="Times New Roman" w:hAnsi="Times New Roman" w:eastAsia="宋体" w:cs="Times New Roman"/>
          <w:b w:val="0"/>
          <w:bCs w:val="0"/>
          <w:sz w:val="28"/>
          <w:szCs w:val="28"/>
          <w:lang w:val="en-US" w:eastAsia="zh-CN"/>
        </w:rPr>
        <w:t>合同文本</w:t>
      </w:r>
      <w:r>
        <w:rPr>
          <w:rFonts w:hint="default" w:ascii="Times New Roman" w:hAnsi="Times New Roman" w:eastAsia="宋体" w:cs="Times New Roman"/>
          <w:b w:val="0"/>
          <w:bCs w:val="0"/>
          <w:sz w:val="28"/>
          <w:szCs w:val="28"/>
          <w:lang w:eastAsia="zh-CN"/>
        </w:rPr>
        <w:t>）</w:t>
      </w:r>
      <w:r>
        <w:rPr>
          <w:rFonts w:hint="eastAsia" w:ascii="Times New Roman" w:hAnsi="Times New Roman" w:eastAsia="宋体" w:cs="Times New Roman"/>
          <w:b w:val="0"/>
          <w:bCs w:val="0"/>
          <w:sz w:val="28"/>
          <w:szCs w:val="28"/>
          <w:lang w:val="en-US" w:eastAsia="zh-CN"/>
        </w:rPr>
        <w:t>详见附件</w:t>
      </w:r>
    </w:p>
    <w:p w14:paraId="7AE0AD12">
      <w:pPr>
        <w:pStyle w:val="3"/>
        <w:rPr>
          <w:rFonts w:hint="eastAsia" w:ascii="仿宋_GB2312" w:hAnsi="仿宋_GB2312" w:eastAsia="仿宋_GB2312" w:cs="仿宋_GB2312"/>
          <w:b w:val="0"/>
          <w:bCs w:val="0"/>
          <w:sz w:val="32"/>
          <w:szCs w:val="32"/>
          <w:highlight w:val="none"/>
          <w:lang w:val="en-US" w:eastAsia="zh-CN"/>
        </w:rPr>
      </w:pPr>
    </w:p>
    <w:p w14:paraId="12139C3E">
      <w:pPr>
        <w:rPr>
          <w:rFonts w:hint="eastAsia" w:ascii="仿宋_GB2312" w:hAnsi="仿宋_GB2312" w:eastAsia="仿宋_GB2312" w:cs="仿宋_GB2312"/>
          <w:b w:val="0"/>
          <w:bCs w:val="0"/>
          <w:sz w:val="32"/>
          <w:szCs w:val="32"/>
          <w:highlight w:val="none"/>
          <w:lang w:val="en-US" w:eastAsia="zh-CN"/>
        </w:rPr>
      </w:pPr>
    </w:p>
    <w:p w14:paraId="31E9551A">
      <w:pPr>
        <w:pStyle w:val="3"/>
        <w:rPr>
          <w:rFonts w:hint="eastAsia" w:ascii="仿宋_GB2312" w:hAnsi="仿宋_GB2312" w:eastAsia="仿宋_GB2312" w:cs="仿宋_GB2312"/>
          <w:b w:val="0"/>
          <w:bCs w:val="0"/>
          <w:sz w:val="32"/>
          <w:szCs w:val="32"/>
          <w:highlight w:val="none"/>
          <w:lang w:val="en-US" w:eastAsia="zh-CN"/>
        </w:rPr>
      </w:pPr>
    </w:p>
    <w:p w14:paraId="451B73DA">
      <w:pPr>
        <w:rPr>
          <w:rFonts w:hint="eastAsia" w:ascii="仿宋_GB2312" w:hAnsi="仿宋_GB2312" w:eastAsia="仿宋_GB2312" w:cs="仿宋_GB2312"/>
          <w:b w:val="0"/>
          <w:bCs w:val="0"/>
          <w:sz w:val="32"/>
          <w:szCs w:val="32"/>
          <w:highlight w:val="none"/>
          <w:lang w:val="en-US" w:eastAsia="zh-CN"/>
        </w:rPr>
      </w:pPr>
    </w:p>
    <w:p w14:paraId="169C3199">
      <w:pPr>
        <w:pStyle w:val="3"/>
        <w:rPr>
          <w:rFonts w:hint="default"/>
          <w:highlight w:val="none"/>
          <w:lang w:val="en-US" w:eastAsia="zh-CN"/>
        </w:rPr>
      </w:pPr>
    </w:p>
    <w:p w14:paraId="21CDF8C7">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14:paraId="3FEF1EFE">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14:paraId="63A3A4A5">
      <w:pPr>
        <w:keepNext w:val="0"/>
        <w:keepLines w:val="0"/>
        <w:pageBreakBefore w:val="0"/>
        <w:wordWrap/>
        <w:overflowPunct/>
        <w:topLinePunct w:val="0"/>
        <w:bidi w:val="0"/>
        <w:spacing w:line="560" w:lineRule="exact"/>
        <w:ind w:firstLine="723" w:firstLineChars="200"/>
        <w:jc w:val="center"/>
        <w:rPr>
          <w:rFonts w:hint="eastAsia" w:ascii="宋体" w:hAnsi="宋体" w:eastAsia="宋体" w:cs="宋体"/>
          <w:b/>
          <w:bCs/>
          <w:sz w:val="36"/>
          <w:szCs w:val="36"/>
          <w:highlight w:val="none"/>
        </w:rPr>
      </w:pPr>
    </w:p>
    <w:p w14:paraId="74E08499">
      <w:pPr>
        <w:pStyle w:val="2"/>
        <w:rPr>
          <w:rFonts w:hint="eastAsia" w:ascii="宋体" w:hAnsi="宋体" w:eastAsia="宋体" w:cs="宋体"/>
          <w:b/>
          <w:bCs/>
          <w:sz w:val="36"/>
          <w:szCs w:val="36"/>
          <w:highlight w:val="none"/>
        </w:rPr>
      </w:pPr>
    </w:p>
    <w:p w14:paraId="4ED875F7">
      <w:pPr>
        <w:pStyle w:val="2"/>
        <w:rPr>
          <w:rFonts w:hint="eastAsia" w:ascii="宋体" w:hAnsi="宋体" w:eastAsia="宋体" w:cs="宋体"/>
          <w:b/>
          <w:bCs/>
          <w:sz w:val="36"/>
          <w:szCs w:val="36"/>
          <w:highlight w:val="none"/>
        </w:rPr>
      </w:pPr>
    </w:p>
    <w:p w14:paraId="5AD9405C">
      <w:pPr>
        <w:pStyle w:val="2"/>
        <w:rPr>
          <w:rFonts w:hint="eastAsia" w:ascii="宋体" w:hAnsi="宋体" w:eastAsia="宋体" w:cs="宋体"/>
          <w:b/>
          <w:bCs/>
          <w:sz w:val="36"/>
          <w:szCs w:val="36"/>
          <w:highlight w:val="none"/>
        </w:rPr>
      </w:pPr>
    </w:p>
    <w:p w14:paraId="42C17C28">
      <w:pPr>
        <w:pStyle w:val="2"/>
        <w:rPr>
          <w:rFonts w:hint="eastAsia" w:ascii="宋体" w:hAnsi="宋体" w:eastAsia="宋体" w:cs="宋体"/>
          <w:b/>
          <w:bCs/>
          <w:sz w:val="36"/>
          <w:szCs w:val="36"/>
          <w:highlight w:val="none"/>
        </w:rPr>
      </w:pPr>
    </w:p>
    <w:p w14:paraId="1968A76F">
      <w:pPr>
        <w:pStyle w:val="2"/>
        <w:rPr>
          <w:rFonts w:hint="eastAsia" w:ascii="宋体" w:hAnsi="宋体" w:eastAsia="宋体" w:cs="宋体"/>
          <w:b/>
          <w:bCs/>
          <w:sz w:val="36"/>
          <w:szCs w:val="36"/>
          <w:highlight w:val="none"/>
        </w:rPr>
      </w:pPr>
    </w:p>
    <w:p w14:paraId="7B27F08C">
      <w:pPr>
        <w:keepNext w:val="0"/>
        <w:keepLines w:val="0"/>
        <w:pageBreakBefore/>
        <w:widowControl w:val="0"/>
        <w:kinsoku/>
        <w:wordWrap w:val="0"/>
        <w:overflowPunct/>
        <w:topLinePunct w:val="0"/>
        <w:autoSpaceDE/>
        <w:autoSpaceDN/>
        <w:bidi w:val="0"/>
        <w:adjustRightInd/>
        <w:snapToGrid/>
        <w:spacing w:line="480" w:lineRule="exact"/>
        <w:ind w:right="0"/>
        <w:jc w:val="center"/>
        <w:textAlignment w:val="auto"/>
        <w:rPr>
          <w:rFonts w:hint="default" w:ascii="Times New Roman" w:hAnsi="Times New Roman" w:eastAsia="宋体" w:cs="Times New Roman"/>
          <w:b/>
          <w:bCs/>
          <w:sz w:val="36"/>
          <w:szCs w:val="36"/>
        </w:rPr>
      </w:pPr>
      <w:r>
        <w:rPr>
          <w:rFonts w:hint="default" w:ascii="Times New Roman" w:hAnsi="Times New Roman" w:eastAsia="宋体" w:cs="Times New Roman"/>
          <w:b/>
          <w:bCs/>
          <w:sz w:val="36"/>
          <w:szCs w:val="36"/>
        </w:rPr>
        <w:t>第</w:t>
      </w:r>
      <w:r>
        <w:rPr>
          <w:rFonts w:hint="eastAsia" w:ascii="Times New Roman" w:hAnsi="Times New Roman" w:eastAsia="宋体" w:cs="Times New Roman"/>
          <w:b/>
          <w:bCs/>
          <w:sz w:val="36"/>
          <w:szCs w:val="36"/>
          <w:lang w:val="en-US" w:eastAsia="zh-CN"/>
        </w:rPr>
        <w:t>六</w:t>
      </w:r>
      <w:r>
        <w:rPr>
          <w:rFonts w:hint="default" w:ascii="Times New Roman" w:hAnsi="Times New Roman" w:eastAsia="宋体" w:cs="Times New Roman"/>
          <w:b/>
          <w:bCs/>
          <w:sz w:val="36"/>
          <w:szCs w:val="36"/>
        </w:rPr>
        <w:t>章</w:t>
      </w:r>
      <w:r>
        <w:rPr>
          <w:rFonts w:hint="default" w:ascii="Times New Roman" w:hAnsi="Times New Roman" w:eastAsia="宋体" w:cs="Times New Roman"/>
          <w:b/>
          <w:bCs/>
          <w:sz w:val="36"/>
          <w:szCs w:val="36"/>
          <w:lang w:val="en-US" w:eastAsia="zh-CN"/>
        </w:rPr>
        <w:t xml:space="preserve"> </w:t>
      </w:r>
      <w:r>
        <w:rPr>
          <w:rFonts w:hint="default" w:ascii="Times New Roman" w:hAnsi="Times New Roman" w:eastAsia="宋体" w:cs="Times New Roman"/>
          <w:b/>
          <w:bCs/>
          <w:sz w:val="36"/>
          <w:szCs w:val="36"/>
        </w:rPr>
        <w:t>评审办法</w:t>
      </w:r>
    </w:p>
    <w:p w14:paraId="31BAF0C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p>
    <w:p w14:paraId="44ECDD4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sz w:val="28"/>
          <w:szCs w:val="28"/>
          <w:lang w:val="en-US" w:eastAsia="zh-CN"/>
        </w:rPr>
      </w:pPr>
      <w:r>
        <w:rPr>
          <w:rFonts w:hint="default" w:ascii="Times New Roman" w:hAnsi="Times New Roman" w:eastAsia="黑体" w:cs="Times New Roman"/>
          <w:b w:val="0"/>
          <w:bCs w:val="0"/>
          <w:sz w:val="28"/>
          <w:szCs w:val="28"/>
          <w:lang w:val="en-US" w:eastAsia="zh-CN"/>
        </w:rPr>
        <w:t>一、本次评审采用</w:t>
      </w:r>
      <w:r>
        <w:rPr>
          <w:rFonts w:hint="eastAsia" w:ascii="Times New Roman" w:hAnsi="Times New Roman" w:eastAsia="黑体" w:cs="Times New Roman"/>
          <w:b w:val="0"/>
          <w:bCs w:val="0"/>
          <w:sz w:val="28"/>
          <w:szCs w:val="28"/>
          <w:highlight w:val="none"/>
          <w:lang w:val="en-US" w:eastAsia="zh-CN"/>
        </w:rPr>
        <w:t>经评审</w:t>
      </w:r>
      <w:r>
        <w:rPr>
          <w:rFonts w:hint="default" w:ascii="Times New Roman" w:hAnsi="Times New Roman" w:eastAsia="黑体" w:cs="Times New Roman"/>
          <w:b w:val="0"/>
          <w:bCs w:val="0"/>
          <w:sz w:val="28"/>
          <w:szCs w:val="28"/>
          <w:highlight w:val="none"/>
          <w:lang w:val="en-US" w:eastAsia="zh-CN"/>
        </w:rPr>
        <w:t>最低价法，按</w:t>
      </w:r>
      <w:r>
        <w:rPr>
          <w:rFonts w:hint="default" w:ascii="Times New Roman" w:hAnsi="Times New Roman" w:eastAsia="黑体" w:cs="Times New Roman"/>
          <w:b w:val="0"/>
          <w:bCs w:val="0"/>
          <w:sz w:val="28"/>
          <w:szCs w:val="28"/>
          <w:lang w:val="en-US" w:eastAsia="zh-CN"/>
        </w:rPr>
        <w:t>照评审办法的规定进行评审。</w:t>
      </w:r>
    </w:p>
    <w:p w14:paraId="7619A14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（一）初步评审</w:t>
      </w:r>
    </w:p>
    <w:p w14:paraId="35266D31">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首先对响应文件进行初步评审。初步评审包括形式、资格、响应性评审。初步评审不合格的否决响应资格，不得进入报价评审。</w:t>
      </w:r>
    </w:p>
    <w:p w14:paraId="4EF71D8C">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初步评审前附表</w:t>
      </w:r>
    </w:p>
    <w:tbl>
      <w:tblPr>
        <w:tblStyle w:val="9"/>
        <w:tblW w:w="91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4"/>
        <w:gridCol w:w="1456"/>
        <w:gridCol w:w="1710"/>
        <w:gridCol w:w="5278"/>
      </w:tblGrid>
      <w:tr w14:paraId="77877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21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ACA67">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条款号及名称</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D5696">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评审因素</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1BD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000000"/>
                <w:sz w:val="21"/>
                <w:szCs w:val="21"/>
                <w:u w:val="none"/>
              </w:rPr>
            </w:pPr>
            <w:r>
              <w:rPr>
                <w:rFonts w:hint="default" w:ascii="Times New Roman" w:hAnsi="Times New Roman" w:eastAsia="宋体" w:cs="Times New Roman"/>
                <w:b w:val="0"/>
                <w:bCs w:val="0"/>
                <w:i w:val="0"/>
                <w:iCs w:val="0"/>
                <w:color w:val="000000"/>
                <w:kern w:val="0"/>
                <w:sz w:val="21"/>
                <w:szCs w:val="21"/>
                <w:u w:val="none"/>
                <w:lang w:val="en-US" w:eastAsia="zh-CN" w:bidi="ar"/>
              </w:rPr>
              <w:t>评</w:t>
            </w:r>
            <w:r>
              <w:rPr>
                <w:rStyle w:val="18"/>
                <w:rFonts w:hint="default" w:ascii="Times New Roman" w:hAnsi="Times New Roman" w:eastAsia="宋体" w:cs="Times New Roman"/>
                <w:b w:val="0"/>
                <w:bCs w:val="0"/>
                <w:sz w:val="21"/>
                <w:szCs w:val="21"/>
                <w:lang w:val="en-US" w:eastAsia="zh-CN" w:bidi="ar"/>
              </w:rPr>
              <w:t xml:space="preserve"> 审 标 准</w:t>
            </w:r>
          </w:p>
        </w:tc>
      </w:tr>
      <w:tr w14:paraId="482B7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F31EF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1</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835F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形式评审标准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EE06">
            <w:pPr>
              <w:keepNext w:val="0"/>
              <w:keepLines w:val="0"/>
              <w:pageBreakBefore w:val="0"/>
              <w:widowControl w:val="0"/>
              <w:suppressLineNumbers w:val="0"/>
              <w:kinsoku/>
              <w:wordWrap w:val="0"/>
              <w:overflowPunct/>
              <w:topLinePunct w:val="0"/>
              <w:autoSpaceDE/>
              <w:autoSpaceDN/>
              <w:bidi w:val="0"/>
              <w:adjustRightInd/>
              <w:snapToGrid/>
              <w:spacing w:line="320" w:lineRule="exact"/>
              <w:ind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供应商名称</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493C">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与市场监管部门或其他行政机关颁发的可以合法开展业务的执照或证书一致。</w:t>
            </w:r>
          </w:p>
        </w:tc>
      </w:tr>
      <w:tr w14:paraId="1FD36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E52533">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3720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2A1A0">
            <w:pPr>
              <w:keepNext w:val="0"/>
              <w:keepLines w:val="0"/>
              <w:pageBreakBefore w:val="0"/>
              <w:widowControl w:val="0"/>
              <w:suppressLineNumbers w:val="0"/>
              <w:kinsoku/>
              <w:wordWrap w:val="0"/>
              <w:overflowPunct/>
              <w:topLinePunct w:val="0"/>
              <w:autoSpaceDE/>
              <w:autoSpaceDN/>
              <w:bidi w:val="0"/>
              <w:adjustRightInd/>
              <w:snapToGrid/>
              <w:spacing w:line="320" w:lineRule="exact"/>
              <w:ind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响应文件盖章</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551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响应文件应经响应单位盖章</w:t>
            </w:r>
          </w:p>
        </w:tc>
      </w:tr>
      <w:tr w14:paraId="3E922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67DDB">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A4EAB">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C5F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响应文件格式</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B839">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符合“响应文件格式”的规定。</w:t>
            </w:r>
          </w:p>
        </w:tc>
      </w:tr>
      <w:tr w14:paraId="6BAEF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9DBD81">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2</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FFA58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资格评审</w:t>
            </w:r>
            <w:r>
              <w:rPr>
                <w:rStyle w:val="18"/>
                <w:rFonts w:hint="default" w:ascii="Times New Roman" w:hAnsi="Times New Roman" w:eastAsia="宋体" w:cs="Times New Roman"/>
                <w:b w:val="0"/>
                <w:bCs w:val="0"/>
                <w:color w:val="auto"/>
                <w:sz w:val="21"/>
                <w:szCs w:val="21"/>
                <w:lang w:val="en-US" w:eastAsia="zh-CN" w:bidi="ar"/>
              </w:rPr>
              <w:t>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C28B">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依法设立</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FE3E9">
            <w:pPr>
              <w:keepNext w:val="0"/>
              <w:keepLines w:val="0"/>
              <w:widowControl/>
              <w:suppressLineNumbers w:val="0"/>
              <w:jc w:val="left"/>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color w:val="auto"/>
                <w:kern w:val="0"/>
                <w:sz w:val="21"/>
                <w:szCs w:val="21"/>
                <w:lang w:val="en-US" w:eastAsia="zh-CN" w:bidi="ar"/>
              </w:rPr>
              <w:t>提供有效的营业执照</w:t>
            </w:r>
          </w:p>
        </w:tc>
      </w:tr>
      <w:tr w14:paraId="3F97A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ADB19">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998B9">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537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业绩要求</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2EB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符合供应商资格要求</w:t>
            </w:r>
            <w:r>
              <w:rPr>
                <w:rStyle w:val="18"/>
                <w:rFonts w:hint="default" w:ascii="Times New Roman" w:hAnsi="Times New Roman" w:eastAsia="宋体" w:cs="Times New Roman"/>
                <w:b w:val="0"/>
                <w:bCs w:val="0"/>
                <w:color w:val="auto"/>
                <w:sz w:val="21"/>
                <w:szCs w:val="21"/>
                <w:lang w:val="en-US" w:eastAsia="zh-CN" w:bidi="ar"/>
              </w:rPr>
              <w:t>规定</w:t>
            </w:r>
          </w:p>
        </w:tc>
      </w:tr>
      <w:tr w14:paraId="35415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97184">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1568F">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B215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供应商不得存在情形</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8CEC">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符合供应商资格要求</w:t>
            </w:r>
            <w:r>
              <w:rPr>
                <w:rStyle w:val="18"/>
                <w:rFonts w:hint="default" w:ascii="Times New Roman" w:hAnsi="Times New Roman" w:eastAsia="宋体" w:cs="Times New Roman"/>
                <w:b w:val="0"/>
                <w:bCs w:val="0"/>
                <w:color w:val="auto"/>
                <w:sz w:val="21"/>
                <w:szCs w:val="21"/>
                <w:lang w:val="en-US" w:eastAsia="zh-CN" w:bidi="ar"/>
              </w:rPr>
              <w:t>规定</w:t>
            </w:r>
          </w:p>
        </w:tc>
      </w:tr>
      <w:tr w14:paraId="2E909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194D5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3</w:t>
            </w:r>
          </w:p>
        </w:tc>
        <w:tc>
          <w:tcPr>
            <w:tcW w:w="14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7E4F50">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响应性评审标准</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5E23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报价</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A991">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17B8B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10711">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3C465">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C3BC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响应文件有效期</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98C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6E436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699464">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4ED5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9188">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响应保证金</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1B603">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466FF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F73AC">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E5445">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B7D4">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响应方案</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B35DD">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54123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CF9D6D">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08C3A">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272F5">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质量标准</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69086">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r w14:paraId="54239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7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BEE483">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4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BD4A9E">
            <w:pPr>
              <w:keepNext w:val="0"/>
              <w:keepLines w:val="0"/>
              <w:pageBreakBefore w:val="0"/>
              <w:widowControl w:val="0"/>
              <w:kinsoku/>
              <w:wordWrap w:val="0"/>
              <w:overflowPunct/>
              <w:topLinePunct w:val="0"/>
              <w:autoSpaceDE/>
              <w:autoSpaceDN/>
              <w:bidi w:val="0"/>
              <w:adjustRightInd/>
              <w:snapToGrid/>
              <w:spacing w:before="0" w:line="320" w:lineRule="exact"/>
              <w:ind w:left="0" w:leftChars="0" w:right="0" w:firstLine="0" w:firstLineChars="0"/>
              <w:jc w:val="center"/>
              <w:rPr>
                <w:rFonts w:hint="default" w:ascii="Times New Roman" w:hAnsi="Times New Roman" w:eastAsia="宋体" w:cs="Times New Roman"/>
                <w:b w:val="0"/>
                <w:bCs w:val="0"/>
                <w:i w:val="0"/>
                <w:iCs w:val="0"/>
                <w:color w:val="auto"/>
                <w:sz w:val="21"/>
                <w:szCs w:val="21"/>
                <w:u w:val="none"/>
              </w:rPr>
            </w:pP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D33B">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center"/>
              <w:textAlignment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kern w:val="0"/>
                <w:sz w:val="21"/>
                <w:szCs w:val="21"/>
                <w:u w:val="none"/>
                <w:lang w:val="en-US" w:eastAsia="zh-CN" w:bidi="ar"/>
              </w:rPr>
              <w:t>交货期和交货地点</w:t>
            </w:r>
          </w:p>
        </w:tc>
        <w:tc>
          <w:tcPr>
            <w:tcW w:w="52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93CA">
            <w:pPr>
              <w:keepNext w:val="0"/>
              <w:keepLines w:val="0"/>
              <w:pageBreakBefore w:val="0"/>
              <w:widowControl w:val="0"/>
              <w:suppressLineNumbers w:val="0"/>
              <w:kinsoku/>
              <w:wordWrap w:val="0"/>
              <w:overflowPunct/>
              <w:topLinePunct w:val="0"/>
              <w:autoSpaceDE/>
              <w:autoSpaceDN/>
              <w:bidi w:val="0"/>
              <w:adjustRightInd/>
              <w:snapToGrid/>
              <w:spacing w:line="320" w:lineRule="exact"/>
              <w:ind w:left="0" w:leftChars="0" w:right="0" w:firstLine="0" w:firstLineChars="0"/>
              <w:jc w:val="left"/>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符合响应文件要求规定</w:t>
            </w:r>
          </w:p>
        </w:tc>
      </w:tr>
    </w:tbl>
    <w:p w14:paraId="0D61A15A">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2" w:firstLineChars="200"/>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eastAsia="zh-CN"/>
        </w:rPr>
        <w:t>（</w:t>
      </w:r>
      <w:r>
        <w:rPr>
          <w:rFonts w:hint="default" w:ascii="Times New Roman" w:hAnsi="Times New Roman" w:eastAsia="宋体" w:cs="Times New Roman"/>
          <w:b/>
          <w:bCs/>
          <w:sz w:val="28"/>
          <w:szCs w:val="28"/>
          <w:lang w:val="en-US" w:eastAsia="zh-CN"/>
        </w:rPr>
        <w:t>二</w:t>
      </w:r>
      <w:r>
        <w:rPr>
          <w:rFonts w:hint="default" w:ascii="Times New Roman" w:hAnsi="Times New Roman" w:eastAsia="宋体" w:cs="Times New Roman"/>
          <w:b/>
          <w:bCs/>
          <w:sz w:val="28"/>
          <w:szCs w:val="28"/>
          <w:lang w:eastAsia="zh-CN"/>
        </w:rPr>
        <w:t>）</w:t>
      </w:r>
      <w:r>
        <w:rPr>
          <w:rFonts w:hint="default" w:ascii="Times New Roman" w:hAnsi="Times New Roman" w:eastAsia="宋体" w:cs="Times New Roman"/>
          <w:b/>
          <w:bCs/>
          <w:sz w:val="28"/>
          <w:szCs w:val="28"/>
          <w:lang w:val="en-US" w:eastAsia="zh-CN"/>
        </w:rPr>
        <w:t>报价评审</w:t>
      </w:r>
    </w:p>
    <w:p w14:paraId="0935F6C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1.</w:t>
      </w:r>
      <w:r>
        <w:rPr>
          <w:rFonts w:hint="default" w:ascii="Times New Roman" w:hAnsi="Times New Roman" w:eastAsia="宋体" w:cs="Times New Roman"/>
          <w:b w:val="0"/>
          <w:bCs w:val="0"/>
          <w:sz w:val="28"/>
          <w:szCs w:val="28"/>
        </w:rPr>
        <w:t>评审价格为供应商</w:t>
      </w:r>
      <w:r>
        <w:rPr>
          <w:rFonts w:hint="eastAsia" w:ascii="Times New Roman" w:hAnsi="Times New Roman" w:eastAsia="宋体" w:cs="Times New Roman"/>
          <w:b w:val="0"/>
          <w:bCs w:val="0"/>
          <w:sz w:val="28"/>
          <w:szCs w:val="28"/>
          <w:lang w:val="en-US" w:eastAsia="zh-CN"/>
        </w:rPr>
        <w:t>响应文件中</w:t>
      </w:r>
      <w:r>
        <w:rPr>
          <w:rFonts w:hint="default" w:ascii="Times New Roman" w:hAnsi="Times New Roman" w:eastAsia="宋体" w:cs="Times New Roman"/>
          <w:b w:val="0"/>
          <w:bCs w:val="0"/>
          <w:sz w:val="28"/>
          <w:szCs w:val="28"/>
          <w:highlight w:val="none"/>
          <w:lang w:val="en-US" w:eastAsia="zh-CN"/>
        </w:rPr>
        <w:t>报价</w:t>
      </w:r>
      <w:r>
        <w:rPr>
          <w:rFonts w:hint="default" w:ascii="Times New Roman" w:hAnsi="Times New Roman" w:eastAsia="宋体" w:cs="Times New Roman"/>
          <w:b w:val="0"/>
          <w:bCs w:val="0"/>
          <w:sz w:val="28"/>
          <w:szCs w:val="28"/>
        </w:rPr>
        <w:t>。</w:t>
      </w:r>
    </w:p>
    <w:p w14:paraId="68C4D74E">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rPr>
      </w:pPr>
      <w:r>
        <w:rPr>
          <w:rFonts w:hint="default" w:ascii="Times New Roman" w:hAnsi="Times New Roman" w:eastAsia="宋体" w:cs="Times New Roman"/>
          <w:b w:val="0"/>
          <w:bCs w:val="0"/>
          <w:sz w:val="28"/>
          <w:szCs w:val="28"/>
          <w:lang w:val="en-US" w:eastAsia="zh-CN"/>
        </w:rPr>
        <w:t>2.</w:t>
      </w:r>
      <w:r>
        <w:rPr>
          <w:rFonts w:hint="default" w:ascii="Times New Roman" w:hAnsi="Times New Roman" w:eastAsia="宋体" w:cs="Times New Roman"/>
          <w:b w:val="0"/>
          <w:bCs w:val="0"/>
          <w:sz w:val="28"/>
          <w:szCs w:val="28"/>
        </w:rPr>
        <w:t>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14:paraId="44B3B09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黑体" w:cs="Times New Roman"/>
          <w:b w:val="0"/>
          <w:bCs w:val="0"/>
          <w:kern w:val="1"/>
          <w:sz w:val="28"/>
          <w:szCs w:val="28"/>
          <w:lang w:val="en-US" w:eastAsia="zh-CN"/>
        </w:rPr>
      </w:pPr>
      <w:r>
        <w:rPr>
          <w:rFonts w:hint="default" w:ascii="Times New Roman" w:hAnsi="Times New Roman" w:eastAsia="黑体" w:cs="Times New Roman"/>
          <w:b w:val="0"/>
          <w:bCs w:val="0"/>
          <w:kern w:val="1"/>
          <w:sz w:val="28"/>
          <w:szCs w:val="28"/>
          <w:lang w:val="en-US" w:eastAsia="zh-CN"/>
        </w:rPr>
        <w:t>二、确定成交候选供应商</w:t>
      </w:r>
    </w:p>
    <w:p w14:paraId="732CF3F4">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r>
        <w:rPr>
          <w:rFonts w:hint="default" w:ascii="Times New Roman" w:hAnsi="Times New Roman" w:eastAsia="宋体" w:cs="Times New Roman"/>
          <w:b w:val="0"/>
          <w:bCs w:val="0"/>
          <w:sz w:val="28"/>
          <w:szCs w:val="28"/>
          <w:lang w:val="en-US" w:eastAsia="zh-CN"/>
        </w:rPr>
        <w:t>完成评审后，按照各供应商评审的有效报价，由低到高的次序确定供应商最终的排列名次，推荐</w:t>
      </w:r>
      <w:r>
        <w:rPr>
          <w:rFonts w:hint="eastAsia" w:ascii="Times New Roman" w:hAnsi="Times New Roman" w:eastAsia="宋体" w:cs="Times New Roman"/>
          <w:b w:val="0"/>
          <w:bCs w:val="0"/>
          <w:sz w:val="28"/>
          <w:szCs w:val="28"/>
          <w:lang w:val="en-US" w:eastAsia="zh-CN"/>
        </w:rPr>
        <w:t>第</w:t>
      </w:r>
      <w:r>
        <w:rPr>
          <w:rFonts w:hint="default" w:ascii="Times New Roman" w:hAnsi="Times New Roman" w:eastAsia="宋体" w:cs="Times New Roman"/>
          <w:b w:val="0"/>
          <w:bCs w:val="0"/>
          <w:sz w:val="28"/>
          <w:szCs w:val="28"/>
          <w:lang w:val="en-US" w:eastAsia="zh-CN"/>
        </w:rPr>
        <w:t>1名</w:t>
      </w:r>
      <w:r>
        <w:rPr>
          <w:rFonts w:hint="eastAsia" w:ascii="Times New Roman" w:hAnsi="Times New Roman" w:eastAsia="宋体" w:cs="Times New Roman"/>
          <w:b w:val="0"/>
          <w:bCs w:val="0"/>
          <w:sz w:val="28"/>
          <w:szCs w:val="28"/>
          <w:lang w:val="en-US" w:eastAsia="zh-CN"/>
        </w:rPr>
        <w:t>为</w:t>
      </w:r>
      <w:r>
        <w:rPr>
          <w:rFonts w:hint="default" w:ascii="Times New Roman" w:hAnsi="Times New Roman" w:eastAsia="宋体" w:cs="Times New Roman"/>
          <w:b w:val="0"/>
          <w:bCs w:val="0"/>
          <w:sz w:val="28"/>
          <w:szCs w:val="28"/>
          <w:lang w:val="en-US" w:eastAsia="zh-CN"/>
        </w:rPr>
        <w:t>成交供应商。</w:t>
      </w:r>
    </w:p>
    <w:p w14:paraId="590081E0">
      <w:pPr>
        <w:keepNext w:val="0"/>
        <w:keepLines w:val="0"/>
        <w:pageBreakBefore w:val="0"/>
        <w:widowControl w:val="0"/>
        <w:kinsoku/>
        <w:wordWrap w:val="0"/>
        <w:overflowPunct/>
        <w:topLinePunct w:val="0"/>
        <w:autoSpaceDE/>
        <w:autoSpaceDN/>
        <w:bidi w:val="0"/>
        <w:adjustRightInd/>
        <w:snapToGrid/>
        <w:spacing w:line="480" w:lineRule="exact"/>
        <w:ind w:left="0" w:leftChars="0" w:right="0" w:firstLine="560" w:firstLineChars="200"/>
        <w:textAlignment w:val="auto"/>
        <w:rPr>
          <w:rFonts w:hint="default" w:ascii="Times New Roman" w:hAnsi="Times New Roman" w:eastAsia="宋体" w:cs="Times New Roman"/>
          <w:b w:val="0"/>
          <w:bCs w:val="0"/>
          <w:sz w:val="28"/>
          <w:szCs w:val="28"/>
          <w:lang w:val="en-US" w:eastAsia="zh-CN"/>
        </w:rPr>
      </w:pPr>
    </w:p>
    <w:p w14:paraId="0E96A348">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第七章异议（质疑）处理</w:t>
      </w:r>
    </w:p>
    <w:p w14:paraId="1808AED4">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p>
    <w:p w14:paraId="0610597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一、对采购文件有异议的，异议人应当在响应截止时间前通过书面提出。</w:t>
      </w:r>
    </w:p>
    <w:p w14:paraId="3E2D0DE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二、对谈判过程有异议的，异议人应当在谈判期间当场提出。</w:t>
      </w:r>
    </w:p>
    <w:p w14:paraId="31F13A3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三、对评审结果有异议的，异议人应当在成交候选人公示期间提出。</w:t>
      </w:r>
    </w:p>
    <w:p w14:paraId="5883C6A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受理部门：淮北矿业股份有限公司物资分公司</w:t>
      </w:r>
    </w:p>
    <w:p w14:paraId="50BC30B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联系电话：0561-495</w:t>
      </w:r>
      <w:r>
        <w:rPr>
          <w:rFonts w:hint="eastAsia" w:ascii="仿宋_GB2312" w:hAnsi="仿宋_GB2312" w:eastAsia="仿宋_GB2312" w:cs="仿宋_GB2312"/>
          <w:sz w:val="32"/>
          <w:szCs w:val="32"/>
          <w:highlight w:val="none"/>
          <w:lang w:val="en-US" w:eastAsia="zh-CN"/>
        </w:rPr>
        <w:t>8079</w:t>
      </w:r>
      <w:r>
        <w:rPr>
          <w:rFonts w:hint="eastAsia" w:ascii="仿宋_GB2312" w:hAnsi="仿宋_GB2312" w:eastAsia="仿宋_GB2312" w:cs="仿宋_GB2312"/>
          <w:sz w:val="32"/>
          <w:szCs w:val="32"/>
          <w:highlight w:val="none"/>
        </w:rPr>
        <w:t>（工作日8:30-12:00</w:t>
      </w:r>
      <w:r>
        <w:rPr>
          <w:rFonts w:ascii="仿宋_GB2312" w:hAnsi="仿宋_GB2312" w:eastAsia="仿宋_GB2312" w:cs="仿宋_GB2312"/>
          <w:sz w:val="32"/>
          <w:szCs w:val="32"/>
          <w:highlight w:val="none"/>
        </w:rPr>
        <w:t xml:space="preserve"> </w:t>
      </w:r>
      <w:r>
        <w:rPr>
          <w:rFonts w:hint="eastAsia" w:ascii="仿宋_GB2312" w:hAnsi="仿宋_GB2312" w:eastAsia="仿宋_GB2312" w:cs="仿宋_GB2312"/>
          <w:sz w:val="32"/>
          <w:szCs w:val="32"/>
          <w:highlight w:val="none"/>
        </w:rPr>
        <w:t>14:30-17:00）</w:t>
      </w:r>
    </w:p>
    <w:p w14:paraId="2077EDF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异议人提出异议应当按照下列格式提交异议书。</w:t>
      </w:r>
    </w:p>
    <w:p w14:paraId="4C0AA60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353651AF">
      <w:pPr>
        <w:keepNext w:val="0"/>
        <w:keepLines w:val="0"/>
        <w:pageBreakBefore w:val="0"/>
        <w:wordWrap/>
        <w:overflowPunct/>
        <w:topLinePunct w:val="0"/>
        <w:bidi w:val="0"/>
        <w:spacing w:line="560" w:lineRule="exact"/>
        <w:ind w:firstLine="723" w:firstLineChars="200"/>
        <w:jc w:val="center"/>
        <w:rPr>
          <w:rFonts w:ascii="仿宋_GB2312" w:hAnsi="仿宋_GB2312" w:eastAsia="仿宋_GB2312" w:cs="仿宋_GB2312"/>
          <w:sz w:val="32"/>
          <w:szCs w:val="32"/>
          <w:highlight w:val="none"/>
        </w:rPr>
      </w:pPr>
      <w:r>
        <w:rPr>
          <w:rFonts w:hint="eastAsia" w:ascii="宋体" w:hAnsi="宋体" w:eastAsia="宋体" w:cs="宋体"/>
          <w:b/>
          <w:bCs/>
          <w:sz w:val="36"/>
          <w:szCs w:val="36"/>
          <w:highlight w:val="none"/>
        </w:rPr>
        <w:t>（项目名称）异议书</w:t>
      </w:r>
    </w:p>
    <w:p w14:paraId="3B5B5C8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746533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w:t>
      </w:r>
    </w:p>
    <w:p w14:paraId="345173F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14:paraId="747B419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14:paraId="3B72C2C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授权委托代理人：身份证号：</w:t>
      </w:r>
    </w:p>
    <w:p w14:paraId="6B5DB44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住址：联系电话：</w:t>
      </w:r>
    </w:p>
    <w:p w14:paraId="13F61D3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被异议人：</w:t>
      </w:r>
    </w:p>
    <w:p w14:paraId="6F45B341">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地址：邮编：</w:t>
      </w:r>
    </w:p>
    <w:p w14:paraId="67061AE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法定代表人：联系电话：</w:t>
      </w:r>
    </w:p>
    <w:p w14:paraId="1D272D9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异议事项的基本事实：</w:t>
      </w:r>
    </w:p>
    <w:p w14:paraId="3EB9095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相关请求及主张：</w:t>
      </w:r>
    </w:p>
    <w:p w14:paraId="299384C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有效线索和相关证明材料：</w:t>
      </w:r>
    </w:p>
    <w:p w14:paraId="509E453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异议提出人与该项目有利害关系的证明材料：</w:t>
      </w:r>
    </w:p>
    <w:p w14:paraId="0BDD9E5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此致：（受理部门）</w:t>
      </w:r>
    </w:p>
    <w:p w14:paraId="2CCBCA5E">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附件：1.法定代表人授权委托书2.法人单位的有效证明3.代理人本人的有效身份证明4.相关证明材料</w:t>
      </w:r>
    </w:p>
    <w:p w14:paraId="3BFEDB6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BFCC28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47522DD">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214387DF">
      <w:pPr>
        <w:keepNext w:val="0"/>
        <w:keepLines w:val="0"/>
        <w:pageBreakBefore w:val="0"/>
        <w:wordWrap/>
        <w:overflowPunct/>
        <w:topLinePunct w:val="0"/>
        <w:bidi w:val="0"/>
        <w:spacing w:line="560" w:lineRule="exact"/>
        <w:ind w:firstLine="4800" w:firstLineChars="1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14:paraId="7722941D">
      <w:pPr>
        <w:keepNext w:val="0"/>
        <w:keepLines w:val="0"/>
        <w:pageBreakBefore w:val="0"/>
        <w:wordWrap/>
        <w:overflowPunct/>
        <w:topLinePunct w:val="0"/>
        <w:bidi w:val="0"/>
        <w:spacing w:line="560" w:lineRule="exact"/>
        <w:ind w:firstLine="6080" w:firstLineChars="19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14:paraId="2B89DF8B">
      <w:pPr>
        <w:keepNext w:val="0"/>
        <w:keepLines w:val="0"/>
        <w:pageBreakBefore w:val="0"/>
        <w:wordWrap/>
        <w:overflowPunct/>
        <w:topLinePunct w:val="0"/>
        <w:bidi w:val="0"/>
        <w:spacing w:line="560" w:lineRule="exact"/>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14:paraId="528221E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52CEABA6">
      <w:pPr>
        <w:keepNext w:val="0"/>
        <w:keepLines w:val="0"/>
        <w:pageBreakBefore w:val="0"/>
        <w:wordWrap/>
        <w:overflowPunct/>
        <w:topLinePunct w:val="0"/>
        <w:bidi w:val="0"/>
        <w:spacing w:line="560" w:lineRule="exact"/>
        <w:jc w:val="center"/>
        <w:rPr>
          <w:rFonts w:ascii="宋体" w:hAnsi="宋体" w:eastAsia="宋体" w:cs="宋体"/>
          <w:b/>
          <w:bCs/>
          <w:sz w:val="36"/>
          <w:szCs w:val="36"/>
          <w:highlight w:val="none"/>
        </w:rPr>
      </w:pPr>
      <w:r>
        <w:rPr>
          <w:rFonts w:hint="eastAsia" w:ascii="宋体" w:hAnsi="宋体" w:eastAsia="宋体" w:cs="宋体"/>
          <w:b/>
          <w:bCs/>
          <w:sz w:val="36"/>
          <w:szCs w:val="36"/>
          <w:highlight w:val="none"/>
        </w:rPr>
        <w:t>诚信异议承诺书</w:t>
      </w:r>
    </w:p>
    <w:p w14:paraId="35EA1529">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14:paraId="18DC7E8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ab/>
      </w:r>
      <w:r>
        <w:rPr>
          <w:rFonts w:hint="eastAsia" w:ascii="仿宋_GB2312" w:hAnsi="仿宋_GB2312" w:eastAsia="仿宋_GB2312" w:cs="仿宋_GB2312"/>
          <w:sz w:val="32"/>
          <w:szCs w:val="32"/>
          <w:highlight w:val="none"/>
        </w:rPr>
        <w:t>（异议人名称）郑重承诺：</w:t>
      </w:r>
    </w:p>
    <w:p w14:paraId="20A6B6E7">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4EF1B89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遵循公开、公平、公正和诚实信用的原则参加(具体的响应报价项目名称)的响应报价活动，已熟知采购文件关于异议相关要求，并承诺依法依规并按采购文件要求递交相关异议材料，如有虚假异议和恶意异议的情形，承担相关法律责任。</w:t>
      </w:r>
    </w:p>
    <w:p w14:paraId="2F2CC45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一、本次异议所提供的一切材料都是真实、合法、有效的。</w:t>
      </w:r>
    </w:p>
    <w:p w14:paraId="180B7F10">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二、本次异议活动过程中无违反法律法规和采购文件规定的各种虚假异议和恶意异议行为。</w:t>
      </w:r>
    </w:p>
    <w:p w14:paraId="769A9A9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三、若违反诚信原则和本承诺书，愿意根据法律法规和采购文件的规定，接受淮北矿业集团关于限制交易和停止交易等黑名单相关处理，接受报价保证金（如有）不予退还。</w:t>
      </w:r>
    </w:p>
    <w:p w14:paraId="56A1157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四、若有违反本承诺内容的行为，承担相应的法律责任。</w:t>
      </w:r>
    </w:p>
    <w:p w14:paraId="17D202F8">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4698A7E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009CB11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02315DB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38C79D34">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p>
    <w:p w14:paraId="5D53B2F0">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p>
    <w:p w14:paraId="6E3712AA">
      <w:pPr>
        <w:keepNext w:val="0"/>
        <w:keepLines w:val="0"/>
        <w:pageBreakBefore w:val="0"/>
        <w:wordWrap/>
        <w:overflowPunct/>
        <w:topLinePunct w:val="0"/>
        <w:bidi w:val="0"/>
        <w:spacing w:line="560" w:lineRule="exact"/>
        <w:ind w:firstLine="3840" w:firstLineChars="1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异议人（公章）：</w:t>
      </w:r>
    </w:p>
    <w:p w14:paraId="4B13BADD">
      <w:pPr>
        <w:keepNext w:val="0"/>
        <w:keepLines w:val="0"/>
        <w:pageBreakBefore w:val="0"/>
        <w:wordWrap/>
        <w:overflowPunct/>
        <w:topLinePunct w:val="0"/>
        <w:bidi w:val="0"/>
        <w:spacing w:line="560" w:lineRule="exact"/>
        <w:ind w:firstLine="5440" w:firstLineChars="17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年  月  日</w:t>
      </w:r>
    </w:p>
    <w:p w14:paraId="14C2F424">
      <w:pPr>
        <w:keepNext w:val="0"/>
        <w:keepLines w:val="0"/>
        <w:pageBreakBefore w:val="0"/>
        <w:wordWrap/>
        <w:overflowPunct/>
        <w:topLinePunct w:val="0"/>
        <w:bidi w:val="0"/>
        <w:spacing w:line="560" w:lineRule="exact"/>
        <w:ind w:firstLine="1920" w:firstLineChars="6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法定代表人（单位负责人）（签字）：</w:t>
      </w:r>
    </w:p>
    <w:p w14:paraId="541E5754">
      <w:pPr>
        <w:keepNext w:val="0"/>
        <w:keepLines w:val="0"/>
        <w:pageBreakBefore w:val="0"/>
        <w:wordWrap/>
        <w:overflowPunct/>
        <w:topLinePunct w:val="0"/>
        <w:bidi w:val="0"/>
        <w:spacing w:line="560" w:lineRule="exact"/>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br w:type="page"/>
      </w:r>
    </w:p>
    <w:p w14:paraId="121C07E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说明：</w:t>
      </w:r>
    </w:p>
    <w:p w14:paraId="24ABD75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一）</w:t>
      </w:r>
      <w:r>
        <w:rPr>
          <w:rFonts w:hint="eastAsia" w:ascii="仿宋_GB2312" w:hAnsi="仿宋_GB2312" w:eastAsia="仿宋_GB2312" w:cs="仿宋_GB2312"/>
          <w:sz w:val="32"/>
          <w:szCs w:val="32"/>
          <w:highlight w:val="none"/>
        </w:rPr>
        <w:t>异议人是法人的，异议书必须由其法定代表人签字并加盖公章；异议人是其他组织或者自然人的，异议书必须由其主要负责人或者自然人本人签字。法定代表人、主要负责人或者自然人本人应当附有效身份证明（验原件，留复印件）。</w:t>
      </w:r>
    </w:p>
    <w:p w14:paraId="1C0219C0">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二）</w:t>
      </w:r>
      <w:r>
        <w:rPr>
          <w:rFonts w:hint="eastAsia" w:ascii="仿宋_GB2312" w:hAnsi="仿宋_GB2312" w:eastAsia="仿宋_GB2312" w:cs="仿宋_GB2312"/>
          <w:sz w:val="32"/>
          <w:szCs w:val="32"/>
          <w:highlight w:val="none"/>
        </w:rPr>
        <w:t>异议人可以自己直接提出异议，也可以授权委托代理人办理异议事务。代理人办理异议事务时，应当将异议书、法定代表人授权委托书、法人单位的有效证明（验原件，留加盖公章的复印件）、代理人本人的有效身份证明（验原件，留复印件）一并提交给受理部门。法定代表人授权委托书应当明确有关授权委托代理权限和事项。</w:t>
      </w:r>
    </w:p>
    <w:p w14:paraId="6825440B">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三）</w:t>
      </w:r>
      <w:r>
        <w:rPr>
          <w:rFonts w:hint="eastAsia" w:ascii="仿宋_GB2312" w:hAnsi="仿宋_GB2312" w:eastAsia="仿宋_GB2312" w:cs="仿宋_GB2312"/>
          <w:sz w:val="32"/>
          <w:szCs w:val="32"/>
          <w:highlight w:val="none"/>
        </w:rPr>
        <w:t>异议书有关材料是外文的，异议人应当同时提供其中文译本。</w:t>
      </w:r>
    </w:p>
    <w:p w14:paraId="170A5648">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四）</w:t>
      </w:r>
      <w:r>
        <w:rPr>
          <w:rFonts w:hint="eastAsia" w:ascii="仿宋_GB2312" w:hAnsi="仿宋_GB2312" w:eastAsia="仿宋_GB2312" w:cs="仿宋_GB2312"/>
          <w:sz w:val="32"/>
          <w:szCs w:val="32"/>
          <w:highlight w:val="none"/>
        </w:rPr>
        <w:t>有下列情形之一的，采购人可以不予受理异议</w:t>
      </w:r>
    </w:p>
    <w:p w14:paraId="0B852D6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rPr>
        <w:t>异议人不是响应供应商或者其他利害关系人的。</w:t>
      </w:r>
    </w:p>
    <w:p w14:paraId="56275589">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rPr>
        <w:t>未在规定的期限内，按照规定要求提出异议的。</w:t>
      </w:r>
    </w:p>
    <w:p w14:paraId="6B2356B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rPr>
        <w:t>应当以书面形式提出但未以书面形式提出的。</w:t>
      </w:r>
    </w:p>
    <w:p w14:paraId="44BD676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rPr>
        <w:t>异议书未</w:t>
      </w:r>
      <w:r>
        <w:rPr>
          <w:rFonts w:hint="eastAsia" w:ascii="仿宋_GB2312" w:hAnsi="仿宋_GB2312" w:eastAsia="仿宋_GB2312" w:cs="仿宋_GB2312"/>
          <w:sz w:val="32"/>
          <w:szCs w:val="32"/>
          <w:highlight w:val="none"/>
          <w:lang w:val="en-US" w:eastAsia="zh-CN"/>
        </w:rPr>
        <w:t>署具</w:t>
      </w:r>
      <w:r>
        <w:rPr>
          <w:rFonts w:hint="eastAsia" w:ascii="仿宋_GB2312" w:hAnsi="仿宋_GB2312" w:eastAsia="仿宋_GB2312" w:cs="仿宋_GB2312"/>
          <w:sz w:val="32"/>
          <w:szCs w:val="32"/>
          <w:highlight w:val="none"/>
        </w:rPr>
        <w:t>异议人真实名称、相关签字公章和有效联系方式的，代理人没有相应的法定代表人授权委托书、法人单位的有效证明、代理人本人的有效身份证明的或有关委托代理权限和事项不明确的。</w:t>
      </w:r>
    </w:p>
    <w:p w14:paraId="186CAEE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rPr>
        <w:t>谈判现场已经异议人确认的事项，公示后异议人又就同一事项提出异议的。</w:t>
      </w:r>
    </w:p>
    <w:p w14:paraId="683DE49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6.</w:t>
      </w:r>
      <w:r>
        <w:rPr>
          <w:rFonts w:hint="eastAsia" w:ascii="仿宋_GB2312" w:hAnsi="仿宋_GB2312" w:eastAsia="仿宋_GB2312" w:cs="仿宋_GB2312"/>
          <w:sz w:val="32"/>
          <w:szCs w:val="32"/>
          <w:highlight w:val="none"/>
        </w:rPr>
        <w:t>采购人已经作出书面答复，异议人无新的事实证据，又就同一事项提出异议的。</w:t>
      </w:r>
    </w:p>
    <w:p w14:paraId="3D1A36EC">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7.</w:t>
      </w:r>
      <w:r>
        <w:rPr>
          <w:rFonts w:hint="eastAsia" w:ascii="仿宋_GB2312" w:hAnsi="仿宋_GB2312" w:eastAsia="仿宋_GB2312" w:cs="仿宋_GB2312"/>
          <w:sz w:val="32"/>
          <w:szCs w:val="32"/>
          <w:highlight w:val="none"/>
        </w:rPr>
        <w:t>异议人撤回异议，又以同一事实和理由再次提出异议的。</w:t>
      </w:r>
    </w:p>
    <w:p w14:paraId="0508994E">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8.</w:t>
      </w:r>
      <w:r>
        <w:rPr>
          <w:rFonts w:hint="eastAsia" w:ascii="仿宋_GB2312" w:hAnsi="仿宋_GB2312" w:eastAsia="仿宋_GB2312" w:cs="仿宋_GB2312"/>
          <w:sz w:val="32"/>
          <w:szCs w:val="32"/>
          <w:highlight w:val="none"/>
        </w:rPr>
        <w:t>书面异议（质疑）材料不完整的。</w:t>
      </w:r>
    </w:p>
    <w:p w14:paraId="775B37FA">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9.</w:t>
      </w:r>
      <w:r>
        <w:rPr>
          <w:rFonts w:hint="eastAsia" w:ascii="仿宋_GB2312" w:hAnsi="仿宋_GB2312" w:eastAsia="仿宋_GB2312" w:cs="仿宋_GB2312"/>
          <w:sz w:val="32"/>
          <w:szCs w:val="32"/>
          <w:highlight w:val="none"/>
        </w:rPr>
        <w:t>异议（质疑）事项含有主观猜测等内容且无充分有效证据的。</w:t>
      </w:r>
    </w:p>
    <w:p w14:paraId="2CA1291F">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对其他响应供应商的响应文件详细内容异议（质疑），无法提供合法来源渠道的。</w:t>
      </w:r>
    </w:p>
    <w:p w14:paraId="327FDA42">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11.</w:t>
      </w:r>
      <w:r>
        <w:rPr>
          <w:rFonts w:hint="eastAsia" w:ascii="仿宋_GB2312" w:hAnsi="仿宋_GB2312" w:eastAsia="仿宋_GB2312" w:cs="仿宋_GB2312"/>
          <w:sz w:val="32"/>
          <w:szCs w:val="32"/>
          <w:highlight w:val="none"/>
        </w:rPr>
        <w:t>异议人不配合异议事项办理的。</w:t>
      </w:r>
    </w:p>
    <w:p w14:paraId="7B5D8AF5">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12.</w:t>
      </w:r>
      <w:r>
        <w:rPr>
          <w:rFonts w:hint="eastAsia" w:ascii="仿宋_GB2312" w:hAnsi="仿宋_GB2312" w:eastAsia="仿宋_GB2312" w:cs="仿宋_GB2312"/>
          <w:sz w:val="32"/>
          <w:szCs w:val="32"/>
          <w:highlight w:val="none"/>
        </w:rPr>
        <w:t>违反相关法律法规的。</w:t>
      </w:r>
    </w:p>
    <w:p w14:paraId="45FA889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五）</w:t>
      </w:r>
      <w:r>
        <w:rPr>
          <w:rFonts w:hint="eastAsia" w:ascii="仿宋_GB2312" w:hAnsi="仿宋_GB2312" w:eastAsia="仿宋_GB2312" w:cs="仿宋_GB2312"/>
          <w:sz w:val="32"/>
          <w:szCs w:val="32"/>
          <w:highlight w:val="none"/>
        </w:rPr>
        <w:t>对于虚假、恶意异议的处理</w:t>
      </w:r>
    </w:p>
    <w:p w14:paraId="17F23493">
      <w:pPr>
        <w:keepNext w:val="0"/>
        <w:keepLines w:val="0"/>
        <w:pageBreakBefore w:val="0"/>
        <w:wordWrap/>
        <w:overflowPunct/>
        <w:topLinePunct w:val="0"/>
        <w:bidi w:val="0"/>
        <w:spacing w:line="560" w:lineRule="exact"/>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提出异议的响应供应商不得以异议为名进行虚假、恶意异议，干扰采购活动的正常进行。对于提供虚假材料，以异议为名谋取成交或恶意异议扰乱采购工作秩序，以及近六个月内无效异议累计超过两次，或近一年内累计超过三次的，淮北矿业按照采购管理相关规定及供应商管理办法，将其记入淮北矿业“黑名单”，并按相关流程严肃处理。</w:t>
      </w:r>
    </w:p>
    <w:sectPr>
      <w:pgSz w:w="11906" w:h="16838"/>
      <w:pgMar w:top="1247" w:right="1474" w:bottom="1304" w:left="1587" w:header="851" w:footer="992"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CF8"/>
    <w:rsid w:val="00053E71"/>
    <w:rsid w:val="00076838"/>
    <w:rsid w:val="001643FA"/>
    <w:rsid w:val="002140F0"/>
    <w:rsid w:val="0036404C"/>
    <w:rsid w:val="00382E87"/>
    <w:rsid w:val="0039039B"/>
    <w:rsid w:val="003A1246"/>
    <w:rsid w:val="003C48C4"/>
    <w:rsid w:val="004241B3"/>
    <w:rsid w:val="004A56E0"/>
    <w:rsid w:val="004E0731"/>
    <w:rsid w:val="00525F10"/>
    <w:rsid w:val="005E1976"/>
    <w:rsid w:val="00603492"/>
    <w:rsid w:val="00655938"/>
    <w:rsid w:val="0067622D"/>
    <w:rsid w:val="006D5C02"/>
    <w:rsid w:val="00781DFA"/>
    <w:rsid w:val="007B5315"/>
    <w:rsid w:val="00806BB3"/>
    <w:rsid w:val="00822DFE"/>
    <w:rsid w:val="00881CF8"/>
    <w:rsid w:val="009269A2"/>
    <w:rsid w:val="009713FF"/>
    <w:rsid w:val="00AB1B3A"/>
    <w:rsid w:val="00AB7514"/>
    <w:rsid w:val="00B02EA2"/>
    <w:rsid w:val="00B15B31"/>
    <w:rsid w:val="00B26793"/>
    <w:rsid w:val="00B30DE8"/>
    <w:rsid w:val="00B54628"/>
    <w:rsid w:val="00B56777"/>
    <w:rsid w:val="00C30928"/>
    <w:rsid w:val="00C917D0"/>
    <w:rsid w:val="00CB04B4"/>
    <w:rsid w:val="00D32BE5"/>
    <w:rsid w:val="00D40D69"/>
    <w:rsid w:val="00D51E4D"/>
    <w:rsid w:val="00D86056"/>
    <w:rsid w:val="00D914B6"/>
    <w:rsid w:val="00EA0A26"/>
    <w:rsid w:val="00F038B5"/>
    <w:rsid w:val="01200F7F"/>
    <w:rsid w:val="014F7656"/>
    <w:rsid w:val="0156352C"/>
    <w:rsid w:val="016C3047"/>
    <w:rsid w:val="01F9035B"/>
    <w:rsid w:val="021653B1"/>
    <w:rsid w:val="02317AF5"/>
    <w:rsid w:val="02427F54"/>
    <w:rsid w:val="026305F6"/>
    <w:rsid w:val="02941E04"/>
    <w:rsid w:val="037A05EF"/>
    <w:rsid w:val="04073D5A"/>
    <w:rsid w:val="041062FC"/>
    <w:rsid w:val="04A647CA"/>
    <w:rsid w:val="05024EA4"/>
    <w:rsid w:val="05036B9E"/>
    <w:rsid w:val="05526046"/>
    <w:rsid w:val="056476AA"/>
    <w:rsid w:val="05B2719F"/>
    <w:rsid w:val="05EF10BB"/>
    <w:rsid w:val="05F1422D"/>
    <w:rsid w:val="06150C97"/>
    <w:rsid w:val="061D286A"/>
    <w:rsid w:val="064E6EC7"/>
    <w:rsid w:val="06977C4E"/>
    <w:rsid w:val="069F7723"/>
    <w:rsid w:val="06A64F55"/>
    <w:rsid w:val="06D7510F"/>
    <w:rsid w:val="06EB0BBA"/>
    <w:rsid w:val="070E11E2"/>
    <w:rsid w:val="073E23D5"/>
    <w:rsid w:val="076B7A24"/>
    <w:rsid w:val="078F7797"/>
    <w:rsid w:val="07950B26"/>
    <w:rsid w:val="080D3F91"/>
    <w:rsid w:val="089808CE"/>
    <w:rsid w:val="08ED6E6B"/>
    <w:rsid w:val="09C556F2"/>
    <w:rsid w:val="09F927A2"/>
    <w:rsid w:val="0A6E15DE"/>
    <w:rsid w:val="0ABC370D"/>
    <w:rsid w:val="0AF142C5"/>
    <w:rsid w:val="0AF618DB"/>
    <w:rsid w:val="0B26054B"/>
    <w:rsid w:val="0B646AD9"/>
    <w:rsid w:val="0BB91287"/>
    <w:rsid w:val="0BD240F7"/>
    <w:rsid w:val="0BF17107"/>
    <w:rsid w:val="0C383B6D"/>
    <w:rsid w:val="0C7B3CA5"/>
    <w:rsid w:val="0D58062B"/>
    <w:rsid w:val="0D5C2DA7"/>
    <w:rsid w:val="0D6A407C"/>
    <w:rsid w:val="0DF93775"/>
    <w:rsid w:val="0E2A646C"/>
    <w:rsid w:val="0E6809A5"/>
    <w:rsid w:val="0E694B47"/>
    <w:rsid w:val="0EC600A2"/>
    <w:rsid w:val="0ECB739B"/>
    <w:rsid w:val="0EF7042F"/>
    <w:rsid w:val="0F112C3E"/>
    <w:rsid w:val="0F482560"/>
    <w:rsid w:val="0FA45DAA"/>
    <w:rsid w:val="0FC01DAB"/>
    <w:rsid w:val="0FC66675"/>
    <w:rsid w:val="0FCC498E"/>
    <w:rsid w:val="0FD85A54"/>
    <w:rsid w:val="0FEE34C9"/>
    <w:rsid w:val="0FF87EA4"/>
    <w:rsid w:val="10463305"/>
    <w:rsid w:val="10533A57"/>
    <w:rsid w:val="10563548"/>
    <w:rsid w:val="106E38EB"/>
    <w:rsid w:val="106F63B8"/>
    <w:rsid w:val="10703EDE"/>
    <w:rsid w:val="108C6F6A"/>
    <w:rsid w:val="10A006DD"/>
    <w:rsid w:val="11274EE5"/>
    <w:rsid w:val="1138433F"/>
    <w:rsid w:val="11567578"/>
    <w:rsid w:val="117479FE"/>
    <w:rsid w:val="11A6405B"/>
    <w:rsid w:val="11C646FD"/>
    <w:rsid w:val="11E626AA"/>
    <w:rsid w:val="11EA7047"/>
    <w:rsid w:val="12046FD4"/>
    <w:rsid w:val="1246139A"/>
    <w:rsid w:val="12633CFA"/>
    <w:rsid w:val="127708C7"/>
    <w:rsid w:val="127E0B34"/>
    <w:rsid w:val="12974990"/>
    <w:rsid w:val="12AA19A0"/>
    <w:rsid w:val="12CF5853"/>
    <w:rsid w:val="12FB03D7"/>
    <w:rsid w:val="13141EC1"/>
    <w:rsid w:val="13161C63"/>
    <w:rsid w:val="13CC1D73"/>
    <w:rsid w:val="13CE6CCE"/>
    <w:rsid w:val="13E175CD"/>
    <w:rsid w:val="144F780E"/>
    <w:rsid w:val="146A3A0B"/>
    <w:rsid w:val="15121A08"/>
    <w:rsid w:val="155B49A1"/>
    <w:rsid w:val="158A63F2"/>
    <w:rsid w:val="15915022"/>
    <w:rsid w:val="15E2587E"/>
    <w:rsid w:val="1629096C"/>
    <w:rsid w:val="16311102"/>
    <w:rsid w:val="16917C74"/>
    <w:rsid w:val="16BA5DB8"/>
    <w:rsid w:val="16C87A3E"/>
    <w:rsid w:val="16C943D5"/>
    <w:rsid w:val="16D9191F"/>
    <w:rsid w:val="16DE30BD"/>
    <w:rsid w:val="16EC67AE"/>
    <w:rsid w:val="16F854B3"/>
    <w:rsid w:val="170B4961"/>
    <w:rsid w:val="170F26A3"/>
    <w:rsid w:val="17391E88"/>
    <w:rsid w:val="173B6FF4"/>
    <w:rsid w:val="17887D5F"/>
    <w:rsid w:val="17B423BF"/>
    <w:rsid w:val="18561C0B"/>
    <w:rsid w:val="18722EE9"/>
    <w:rsid w:val="18C354F3"/>
    <w:rsid w:val="18CE634F"/>
    <w:rsid w:val="194E0845"/>
    <w:rsid w:val="19A433AA"/>
    <w:rsid w:val="19BE7C49"/>
    <w:rsid w:val="19D32438"/>
    <w:rsid w:val="19E21103"/>
    <w:rsid w:val="19ED659F"/>
    <w:rsid w:val="1A7F5449"/>
    <w:rsid w:val="1A9A6727"/>
    <w:rsid w:val="1AA8115B"/>
    <w:rsid w:val="1AC35C7E"/>
    <w:rsid w:val="1B7C712F"/>
    <w:rsid w:val="1BAF0CD9"/>
    <w:rsid w:val="1BDB2B53"/>
    <w:rsid w:val="1C450915"/>
    <w:rsid w:val="1C905D5F"/>
    <w:rsid w:val="1CEB4B27"/>
    <w:rsid w:val="1D0B79E9"/>
    <w:rsid w:val="1D13456F"/>
    <w:rsid w:val="1D14783F"/>
    <w:rsid w:val="1D277E4F"/>
    <w:rsid w:val="1D801C57"/>
    <w:rsid w:val="1DC7696E"/>
    <w:rsid w:val="1E69544E"/>
    <w:rsid w:val="1E9D223F"/>
    <w:rsid w:val="1EB07A27"/>
    <w:rsid w:val="1F0B3750"/>
    <w:rsid w:val="1F1F3A88"/>
    <w:rsid w:val="1F8E3AB0"/>
    <w:rsid w:val="1FD51490"/>
    <w:rsid w:val="1FF31AF9"/>
    <w:rsid w:val="20014B53"/>
    <w:rsid w:val="200843F5"/>
    <w:rsid w:val="203B11B1"/>
    <w:rsid w:val="2096173F"/>
    <w:rsid w:val="20C718F8"/>
    <w:rsid w:val="21102941"/>
    <w:rsid w:val="211B1C44"/>
    <w:rsid w:val="215C356A"/>
    <w:rsid w:val="2168725F"/>
    <w:rsid w:val="218D625E"/>
    <w:rsid w:val="21DF03CF"/>
    <w:rsid w:val="21E169EA"/>
    <w:rsid w:val="21FB093B"/>
    <w:rsid w:val="22274D44"/>
    <w:rsid w:val="223263F7"/>
    <w:rsid w:val="22396826"/>
    <w:rsid w:val="22530CBB"/>
    <w:rsid w:val="227B1683"/>
    <w:rsid w:val="22BD7457"/>
    <w:rsid w:val="230E380E"/>
    <w:rsid w:val="232E2103"/>
    <w:rsid w:val="2338088B"/>
    <w:rsid w:val="235D4796"/>
    <w:rsid w:val="236D60F1"/>
    <w:rsid w:val="239301B8"/>
    <w:rsid w:val="23B86C80"/>
    <w:rsid w:val="23D7572A"/>
    <w:rsid w:val="23FE64DD"/>
    <w:rsid w:val="244119C2"/>
    <w:rsid w:val="247E3C8E"/>
    <w:rsid w:val="24975A86"/>
    <w:rsid w:val="24AA41F4"/>
    <w:rsid w:val="24CF521F"/>
    <w:rsid w:val="24CF7DCE"/>
    <w:rsid w:val="25826736"/>
    <w:rsid w:val="25A12DD9"/>
    <w:rsid w:val="25ED0053"/>
    <w:rsid w:val="25FD0A32"/>
    <w:rsid w:val="26190E48"/>
    <w:rsid w:val="26D11723"/>
    <w:rsid w:val="26D64CAA"/>
    <w:rsid w:val="273A2BA5"/>
    <w:rsid w:val="275424A9"/>
    <w:rsid w:val="279C1B1F"/>
    <w:rsid w:val="27F33C7F"/>
    <w:rsid w:val="286D6AB5"/>
    <w:rsid w:val="28BD6603"/>
    <w:rsid w:val="28D04587"/>
    <w:rsid w:val="290D27BA"/>
    <w:rsid w:val="29606D8E"/>
    <w:rsid w:val="29883BEF"/>
    <w:rsid w:val="299C6289"/>
    <w:rsid w:val="29C54E43"/>
    <w:rsid w:val="29CE5AA6"/>
    <w:rsid w:val="2A1461C3"/>
    <w:rsid w:val="2A396CE3"/>
    <w:rsid w:val="2A57783B"/>
    <w:rsid w:val="2A5C1303"/>
    <w:rsid w:val="2A604045"/>
    <w:rsid w:val="2A830F86"/>
    <w:rsid w:val="2A877DDE"/>
    <w:rsid w:val="2A93222D"/>
    <w:rsid w:val="2B486052"/>
    <w:rsid w:val="2C187507"/>
    <w:rsid w:val="2C774602"/>
    <w:rsid w:val="2C947B55"/>
    <w:rsid w:val="2D142369"/>
    <w:rsid w:val="2D3D14EB"/>
    <w:rsid w:val="2D5E35E4"/>
    <w:rsid w:val="2D962D7E"/>
    <w:rsid w:val="2D962E80"/>
    <w:rsid w:val="2D99461C"/>
    <w:rsid w:val="2DD03E3F"/>
    <w:rsid w:val="2E5277D8"/>
    <w:rsid w:val="2E552C39"/>
    <w:rsid w:val="2E6B420B"/>
    <w:rsid w:val="2E7608AB"/>
    <w:rsid w:val="2E8D23D3"/>
    <w:rsid w:val="2EB21578"/>
    <w:rsid w:val="2EB3176D"/>
    <w:rsid w:val="2EB709FA"/>
    <w:rsid w:val="2EC456C9"/>
    <w:rsid w:val="2ECB4CA9"/>
    <w:rsid w:val="2ED61D49"/>
    <w:rsid w:val="2F1B71CF"/>
    <w:rsid w:val="2F31494A"/>
    <w:rsid w:val="2F383732"/>
    <w:rsid w:val="2F7B1BAE"/>
    <w:rsid w:val="3044418E"/>
    <w:rsid w:val="309F63EE"/>
    <w:rsid w:val="30A734F4"/>
    <w:rsid w:val="30BF058C"/>
    <w:rsid w:val="30DA221E"/>
    <w:rsid w:val="318D4498"/>
    <w:rsid w:val="319E48F7"/>
    <w:rsid w:val="31DA3AEF"/>
    <w:rsid w:val="31E3055C"/>
    <w:rsid w:val="3291620A"/>
    <w:rsid w:val="32933D30"/>
    <w:rsid w:val="32981BA7"/>
    <w:rsid w:val="32A352C3"/>
    <w:rsid w:val="334940DC"/>
    <w:rsid w:val="33505792"/>
    <w:rsid w:val="337F39B4"/>
    <w:rsid w:val="33B977C6"/>
    <w:rsid w:val="35066379"/>
    <w:rsid w:val="3546508A"/>
    <w:rsid w:val="359758E5"/>
    <w:rsid w:val="359A53D6"/>
    <w:rsid w:val="35E27EA9"/>
    <w:rsid w:val="35EF127D"/>
    <w:rsid w:val="362F1FC2"/>
    <w:rsid w:val="36897924"/>
    <w:rsid w:val="36C95F72"/>
    <w:rsid w:val="36D14E27"/>
    <w:rsid w:val="371140A5"/>
    <w:rsid w:val="371207B5"/>
    <w:rsid w:val="37171623"/>
    <w:rsid w:val="37386C54"/>
    <w:rsid w:val="37500271"/>
    <w:rsid w:val="37C87FD8"/>
    <w:rsid w:val="37EF4766"/>
    <w:rsid w:val="385B7B81"/>
    <w:rsid w:val="38A50ED6"/>
    <w:rsid w:val="38BE762D"/>
    <w:rsid w:val="395C1CA2"/>
    <w:rsid w:val="39630342"/>
    <w:rsid w:val="3977412D"/>
    <w:rsid w:val="398C590D"/>
    <w:rsid w:val="39F01A68"/>
    <w:rsid w:val="39FB3138"/>
    <w:rsid w:val="3A1A0893"/>
    <w:rsid w:val="3AC151B3"/>
    <w:rsid w:val="3AD82320"/>
    <w:rsid w:val="3B471B5C"/>
    <w:rsid w:val="3B6127C8"/>
    <w:rsid w:val="3BFB3DD6"/>
    <w:rsid w:val="3C1E0B0E"/>
    <w:rsid w:val="3CB73A7B"/>
    <w:rsid w:val="3CBA3724"/>
    <w:rsid w:val="3CEC3BF0"/>
    <w:rsid w:val="3D1B504E"/>
    <w:rsid w:val="3DCD69E2"/>
    <w:rsid w:val="3E491BEA"/>
    <w:rsid w:val="3E6941DE"/>
    <w:rsid w:val="3EC62D97"/>
    <w:rsid w:val="3F0922E5"/>
    <w:rsid w:val="3F9904AC"/>
    <w:rsid w:val="3FB004F7"/>
    <w:rsid w:val="3FC512A1"/>
    <w:rsid w:val="3FF57DD8"/>
    <w:rsid w:val="405E3272"/>
    <w:rsid w:val="40923879"/>
    <w:rsid w:val="40A42D45"/>
    <w:rsid w:val="411E6EBB"/>
    <w:rsid w:val="41553248"/>
    <w:rsid w:val="417328DE"/>
    <w:rsid w:val="41EF6EB5"/>
    <w:rsid w:val="429117A3"/>
    <w:rsid w:val="43910F3B"/>
    <w:rsid w:val="442318CF"/>
    <w:rsid w:val="44557C47"/>
    <w:rsid w:val="446A1554"/>
    <w:rsid w:val="44CA3141"/>
    <w:rsid w:val="45081646"/>
    <w:rsid w:val="45191BF7"/>
    <w:rsid w:val="455E3D2A"/>
    <w:rsid w:val="46771813"/>
    <w:rsid w:val="46892EFB"/>
    <w:rsid w:val="46AA359E"/>
    <w:rsid w:val="46FE18DA"/>
    <w:rsid w:val="477B44E0"/>
    <w:rsid w:val="47DC187E"/>
    <w:rsid w:val="47E641C2"/>
    <w:rsid w:val="47FE7A46"/>
    <w:rsid w:val="487C235B"/>
    <w:rsid w:val="48CB0489"/>
    <w:rsid w:val="48D10CB7"/>
    <w:rsid w:val="4957740E"/>
    <w:rsid w:val="49CD147E"/>
    <w:rsid w:val="4A301A0D"/>
    <w:rsid w:val="4A45370A"/>
    <w:rsid w:val="4A730A81"/>
    <w:rsid w:val="4A802994"/>
    <w:rsid w:val="4AE50A49"/>
    <w:rsid w:val="4B09298A"/>
    <w:rsid w:val="4B271062"/>
    <w:rsid w:val="4B46773A"/>
    <w:rsid w:val="4B697D1F"/>
    <w:rsid w:val="4B9366F7"/>
    <w:rsid w:val="4BED4059"/>
    <w:rsid w:val="4BF453E8"/>
    <w:rsid w:val="4C0C1F87"/>
    <w:rsid w:val="4C3E0E51"/>
    <w:rsid w:val="4C4243A5"/>
    <w:rsid w:val="4C9642B2"/>
    <w:rsid w:val="4CB33B8F"/>
    <w:rsid w:val="4CE70AA9"/>
    <w:rsid w:val="4CF53F5B"/>
    <w:rsid w:val="4D083ED2"/>
    <w:rsid w:val="4D2A1817"/>
    <w:rsid w:val="4D362EE1"/>
    <w:rsid w:val="4DCA28A4"/>
    <w:rsid w:val="4DD523FB"/>
    <w:rsid w:val="4E832A53"/>
    <w:rsid w:val="4EC969CC"/>
    <w:rsid w:val="4ED77978"/>
    <w:rsid w:val="4F49480A"/>
    <w:rsid w:val="4F4E41CF"/>
    <w:rsid w:val="4FBA34DD"/>
    <w:rsid w:val="4FDF015D"/>
    <w:rsid w:val="504C02BF"/>
    <w:rsid w:val="50597248"/>
    <w:rsid w:val="50923421"/>
    <w:rsid w:val="50976C04"/>
    <w:rsid w:val="50A51C08"/>
    <w:rsid w:val="50AB6155"/>
    <w:rsid w:val="50BB172C"/>
    <w:rsid w:val="50D01C24"/>
    <w:rsid w:val="50F25C6E"/>
    <w:rsid w:val="51020E71"/>
    <w:rsid w:val="51481364"/>
    <w:rsid w:val="51534795"/>
    <w:rsid w:val="52176253"/>
    <w:rsid w:val="522E0F28"/>
    <w:rsid w:val="52465B9C"/>
    <w:rsid w:val="52666914"/>
    <w:rsid w:val="52D03C5E"/>
    <w:rsid w:val="52D3730D"/>
    <w:rsid w:val="52E74848"/>
    <w:rsid w:val="52E971EF"/>
    <w:rsid w:val="530879CB"/>
    <w:rsid w:val="53662C69"/>
    <w:rsid w:val="539B25ED"/>
    <w:rsid w:val="53AB0D81"/>
    <w:rsid w:val="53BF0089"/>
    <w:rsid w:val="54213C7F"/>
    <w:rsid w:val="5463135D"/>
    <w:rsid w:val="54D15DC5"/>
    <w:rsid w:val="552D3719"/>
    <w:rsid w:val="55326F81"/>
    <w:rsid w:val="55EA33B8"/>
    <w:rsid w:val="56044479"/>
    <w:rsid w:val="56847368"/>
    <w:rsid w:val="573B036F"/>
    <w:rsid w:val="575329D5"/>
    <w:rsid w:val="57BD6FD6"/>
    <w:rsid w:val="57C70A95"/>
    <w:rsid w:val="585B0226"/>
    <w:rsid w:val="58737694"/>
    <w:rsid w:val="587D0513"/>
    <w:rsid w:val="5894179C"/>
    <w:rsid w:val="58F509F1"/>
    <w:rsid w:val="5A020049"/>
    <w:rsid w:val="5A6E3EE3"/>
    <w:rsid w:val="5A987886"/>
    <w:rsid w:val="5AFF5784"/>
    <w:rsid w:val="5B224E28"/>
    <w:rsid w:val="5B5C238A"/>
    <w:rsid w:val="5BAB5397"/>
    <w:rsid w:val="5C0663CC"/>
    <w:rsid w:val="5C403417"/>
    <w:rsid w:val="5C9347A9"/>
    <w:rsid w:val="5CA4525C"/>
    <w:rsid w:val="5D213B63"/>
    <w:rsid w:val="5D281862"/>
    <w:rsid w:val="5D301FF8"/>
    <w:rsid w:val="5D746389"/>
    <w:rsid w:val="5D8F6D1E"/>
    <w:rsid w:val="5D937D34"/>
    <w:rsid w:val="5DCE3E64"/>
    <w:rsid w:val="5DF52041"/>
    <w:rsid w:val="5E134CE3"/>
    <w:rsid w:val="5E14191A"/>
    <w:rsid w:val="5E15112E"/>
    <w:rsid w:val="5E344684"/>
    <w:rsid w:val="5E4F2952"/>
    <w:rsid w:val="5E9842F9"/>
    <w:rsid w:val="5F23058C"/>
    <w:rsid w:val="5F506981"/>
    <w:rsid w:val="5FE550F4"/>
    <w:rsid w:val="60AC112E"/>
    <w:rsid w:val="610E7639"/>
    <w:rsid w:val="61204131"/>
    <w:rsid w:val="612400C6"/>
    <w:rsid w:val="613F6CAD"/>
    <w:rsid w:val="616D55C9"/>
    <w:rsid w:val="61803709"/>
    <w:rsid w:val="619F599E"/>
    <w:rsid w:val="61BB521F"/>
    <w:rsid w:val="61D2367E"/>
    <w:rsid w:val="61F45CEA"/>
    <w:rsid w:val="6264175C"/>
    <w:rsid w:val="627604AD"/>
    <w:rsid w:val="63181564"/>
    <w:rsid w:val="6320666B"/>
    <w:rsid w:val="63224191"/>
    <w:rsid w:val="63411921"/>
    <w:rsid w:val="634531C1"/>
    <w:rsid w:val="63464323"/>
    <w:rsid w:val="63D7431B"/>
    <w:rsid w:val="63EF5D46"/>
    <w:rsid w:val="640E2967"/>
    <w:rsid w:val="641E704E"/>
    <w:rsid w:val="64356228"/>
    <w:rsid w:val="64630F05"/>
    <w:rsid w:val="65191C96"/>
    <w:rsid w:val="651E13D4"/>
    <w:rsid w:val="65D91168"/>
    <w:rsid w:val="6615622F"/>
    <w:rsid w:val="662479EE"/>
    <w:rsid w:val="664D59C9"/>
    <w:rsid w:val="665E7BD6"/>
    <w:rsid w:val="66754F1F"/>
    <w:rsid w:val="668A6BA4"/>
    <w:rsid w:val="66935F55"/>
    <w:rsid w:val="66A84033"/>
    <w:rsid w:val="66BA707E"/>
    <w:rsid w:val="66BE0674"/>
    <w:rsid w:val="66E6284F"/>
    <w:rsid w:val="670E33AA"/>
    <w:rsid w:val="672B0B51"/>
    <w:rsid w:val="679D362F"/>
    <w:rsid w:val="679D4037"/>
    <w:rsid w:val="67D87514"/>
    <w:rsid w:val="68A1024E"/>
    <w:rsid w:val="68B95597"/>
    <w:rsid w:val="69392234"/>
    <w:rsid w:val="695B21AB"/>
    <w:rsid w:val="69CA10DE"/>
    <w:rsid w:val="69EF42C3"/>
    <w:rsid w:val="69F148BD"/>
    <w:rsid w:val="6A011B3F"/>
    <w:rsid w:val="6A050368"/>
    <w:rsid w:val="6AB85EF1"/>
    <w:rsid w:val="6AFE54E3"/>
    <w:rsid w:val="6B1C05BE"/>
    <w:rsid w:val="6B28106D"/>
    <w:rsid w:val="6B534085"/>
    <w:rsid w:val="6B550E3F"/>
    <w:rsid w:val="6B9143EA"/>
    <w:rsid w:val="6C0E34CC"/>
    <w:rsid w:val="6C251FBB"/>
    <w:rsid w:val="6C5E5AB6"/>
    <w:rsid w:val="6C7166AB"/>
    <w:rsid w:val="6C8D4D71"/>
    <w:rsid w:val="6CD92286"/>
    <w:rsid w:val="6D333A34"/>
    <w:rsid w:val="6D452A01"/>
    <w:rsid w:val="6DEC1F6B"/>
    <w:rsid w:val="6E1014A2"/>
    <w:rsid w:val="6E1119D2"/>
    <w:rsid w:val="6E721D27"/>
    <w:rsid w:val="6F0B4673"/>
    <w:rsid w:val="6F35349E"/>
    <w:rsid w:val="6F48029A"/>
    <w:rsid w:val="6F9311E9"/>
    <w:rsid w:val="7006011B"/>
    <w:rsid w:val="70700C31"/>
    <w:rsid w:val="709155D5"/>
    <w:rsid w:val="70A64653"/>
    <w:rsid w:val="70D11B64"/>
    <w:rsid w:val="70D416DF"/>
    <w:rsid w:val="70DA254F"/>
    <w:rsid w:val="70E84C6C"/>
    <w:rsid w:val="71357785"/>
    <w:rsid w:val="71461992"/>
    <w:rsid w:val="71557E27"/>
    <w:rsid w:val="716F2C97"/>
    <w:rsid w:val="7178644A"/>
    <w:rsid w:val="71AA3CCF"/>
    <w:rsid w:val="71AC3EEB"/>
    <w:rsid w:val="71B72890"/>
    <w:rsid w:val="720A212A"/>
    <w:rsid w:val="725D0ACA"/>
    <w:rsid w:val="729C452E"/>
    <w:rsid w:val="729C5DE0"/>
    <w:rsid w:val="73813156"/>
    <w:rsid w:val="73845482"/>
    <w:rsid w:val="738F5872"/>
    <w:rsid w:val="73B243DE"/>
    <w:rsid w:val="73E84F83"/>
    <w:rsid w:val="73FB2F08"/>
    <w:rsid w:val="74804EA6"/>
    <w:rsid w:val="750556C0"/>
    <w:rsid w:val="76053BCA"/>
    <w:rsid w:val="760905A3"/>
    <w:rsid w:val="7633736D"/>
    <w:rsid w:val="763B3A90"/>
    <w:rsid w:val="76643F31"/>
    <w:rsid w:val="76D358F0"/>
    <w:rsid w:val="76E557A9"/>
    <w:rsid w:val="76F51E90"/>
    <w:rsid w:val="771B1C48"/>
    <w:rsid w:val="77567082"/>
    <w:rsid w:val="779A647C"/>
    <w:rsid w:val="77D53A70"/>
    <w:rsid w:val="77D71596"/>
    <w:rsid w:val="77E3618D"/>
    <w:rsid w:val="78141B92"/>
    <w:rsid w:val="78283BA0"/>
    <w:rsid w:val="78632C3D"/>
    <w:rsid w:val="78EC3915"/>
    <w:rsid w:val="79151824"/>
    <w:rsid w:val="79334EF2"/>
    <w:rsid w:val="79F53F55"/>
    <w:rsid w:val="7A1B7E60"/>
    <w:rsid w:val="7A604A29"/>
    <w:rsid w:val="7A6051C4"/>
    <w:rsid w:val="7AE0084F"/>
    <w:rsid w:val="7AFE6E3A"/>
    <w:rsid w:val="7B000E04"/>
    <w:rsid w:val="7B706CA7"/>
    <w:rsid w:val="7B8A305E"/>
    <w:rsid w:val="7B937C52"/>
    <w:rsid w:val="7BA66973"/>
    <w:rsid w:val="7BE52EB9"/>
    <w:rsid w:val="7C06244A"/>
    <w:rsid w:val="7C084414"/>
    <w:rsid w:val="7C12462D"/>
    <w:rsid w:val="7C3224BA"/>
    <w:rsid w:val="7CBC6344"/>
    <w:rsid w:val="7D032E2D"/>
    <w:rsid w:val="7D327DB0"/>
    <w:rsid w:val="7D8C2E23"/>
    <w:rsid w:val="7DD303DA"/>
    <w:rsid w:val="7DFA225B"/>
    <w:rsid w:val="7E156974"/>
    <w:rsid w:val="7E402EFE"/>
    <w:rsid w:val="7E680CC6"/>
    <w:rsid w:val="7E6B0C8A"/>
    <w:rsid w:val="7E9417C7"/>
    <w:rsid w:val="7EA771E6"/>
    <w:rsid w:val="7EAA1510"/>
    <w:rsid w:val="7EF020BD"/>
    <w:rsid w:val="7F1051F1"/>
    <w:rsid w:val="7F187DBF"/>
    <w:rsid w:val="7F986DEB"/>
    <w:rsid w:val="7FA74F59"/>
    <w:rsid w:val="7FB83A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5"/>
    <w:qFormat/>
    <w:uiPriority w:val="0"/>
    <w:pPr>
      <w:widowControl/>
      <w:kinsoku w:val="0"/>
      <w:autoSpaceDE w:val="0"/>
      <w:autoSpaceDN w:val="0"/>
      <w:adjustRightInd w:val="0"/>
      <w:snapToGrid w:val="0"/>
      <w:jc w:val="left"/>
    </w:pPr>
    <w:rPr>
      <w:rFonts w:hint="eastAsia" w:ascii="宋体" w:hAnsi="宋体" w:eastAsia="宋体" w:cs="Times New Roman"/>
      <w:color w:val="000000"/>
      <w:kern w:val="0"/>
      <w:sz w:val="32"/>
      <w:szCs w:val="32"/>
    </w:rPr>
  </w:style>
  <w:style w:type="paragraph" w:styleId="3">
    <w:name w:val="Normal Indent"/>
    <w:basedOn w:val="1"/>
    <w:next w:val="1"/>
    <w:qFormat/>
    <w:uiPriority w:val="0"/>
    <w:pPr>
      <w:spacing w:line="360" w:lineRule="auto"/>
      <w:ind w:firstLine="880" w:firstLineChars="200"/>
    </w:pPr>
  </w:style>
  <w:style w:type="paragraph" w:styleId="4">
    <w:name w:val="Plain Text"/>
    <w:basedOn w:val="1"/>
    <w:qFormat/>
    <w:uiPriority w:val="0"/>
    <w:rPr>
      <w:rFonts w:ascii="宋体" w:hAnsi="宋体"/>
      <w:kern w:val="1"/>
      <w:szCs w:val="20"/>
    </w:rPr>
  </w:style>
  <w:style w:type="paragraph" w:styleId="5">
    <w:name w:val="footer"/>
    <w:basedOn w:val="1"/>
    <w:link w:val="13"/>
    <w:qFormat/>
    <w:uiPriority w:val="0"/>
    <w:pPr>
      <w:tabs>
        <w:tab w:val="center" w:pos="4153"/>
        <w:tab w:val="right" w:pos="8306"/>
      </w:tabs>
      <w:snapToGrid w:val="0"/>
      <w:jc w:val="left"/>
    </w:pPr>
    <w:rPr>
      <w:sz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Body Text 2"/>
    <w:basedOn w:val="1"/>
    <w:qFormat/>
    <w:uiPriority w:val="0"/>
    <w:pPr>
      <w:jc w:val="center"/>
    </w:pPr>
    <w:rPr>
      <w:kern w:val="1"/>
      <w:sz w:val="2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customStyle="1" w:styleId="13">
    <w:name w:val="页脚 字符"/>
    <w:basedOn w:val="11"/>
    <w:link w:val="5"/>
    <w:qFormat/>
    <w:uiPriority w:val="0"/>
    <w:rPr>
      <w:color w:val="000000"/>
      <w:sz w:val="18"/>
      <w:szCs w:val="18"/>
    </w:rPr>
  </w:style>
  <w:style w:type="paragraph" w:customStyle="1" w:styleId="14">
    <w:name w:val="Text"/>
    <w:basedOn w:val="1"/>
    <w:qFormat/>
    <w:uiPriority w:val="0"/>
    <w:pPr>
      <w:widowControl/>
      <w:spacing w:line="314" w:lineRule="auto"/>
      <w:jc w:val="left"/>
    </w:pPr>
    <w:rPr>
      <w:rFonts w:hint="eastAsia" w:ascii="宋体" w:hAnsi="宋体" w:eastAsia="宋体" w:cs="Times New Roman"/>
      <w:color w:val="000000"/>
      <w:kern w:val="0"/>
      <w:szCs w:val="20"/>
    </w:rPr>
  </w:style>
  <w:style w:type="character" w:customStyle="1" w:styleId="15">
    <w:name w:val="正文文本 字符"/>
    <w:basedOn w:val="11"/>
    <w:link w:val="2"/>
    <w:qFormat/>
    <w:uiPriority w:val="0"/>
    <w:rPr>
      <w:rFonts w:hint="eastAsia" w:ascii="宋体" w:hAnsi="宋体" w:eastAsia="宋体" w:cs="宋体"/>
      <w:sz w:val="32"/>
      <w:szCs w:val="32"/>
    </w:rPr>
  </w:style>
  <w:style w:type="character" w:customStyle="1" w:styleId="16">
    <w:name w:val="页眉 字符"/>
    <w:basedOn w:val="11"/>
    <w:link w:val="6"/>
    <w:qFormat/>
    <w:uiPriority w:val="0"/>
    <w:rPr>
      <w:rFonts w:asciiTheme="minorHAnsi" w:hAnsiTheme="minorHAnsi" w:eastAsiaTheme="minorEastAsia" w:cstheme="minorBidi"/>
      <w:kern w:val="2"/>
      <w:sz w:val="18"/>
      <w:szCs w:val="18"/>
    </w:rPr>
  </w:style>
  <w:style w:type="character" w:customStyle="1" w:styleId="17">
    <w:name w:val="font31"/>
    <w:basedOn w:val="11"/>
    <w:qFormat/>
    <w:uiPriority w:val="0"/>
    <w:rPr>
      <w:rFonts w:hint="eastAsia" w:ascii="宋体" w:hAnsi="宋体" w:eastAsia="宋体" w:cs="宋体"/>
      <w:b/>
      <w:bCs/>
      <w:color w:val="000000"/>
      <w:sz w:val="22"/>
      <w:szCs w:val="22"/>
      <w:u w:val="none"/>
    </w:rPr>
  </w:style>
  <w:style w:type="character" w:customStyle="1" w:styleId="18">
    <w:name w:val="font11"/>
    <w:basedOn w:val="11"/>
    <w:qFormat/>
    <w:uiPriority w:val="0"/>
    <w:rPr>
      <w:rFonts w:hint="eastAsia" w:ascii="宋体" w:hAnsi="宋体" w:eastAsia="宋体" w:cs="宋体"/>
      <w:color w:val="000000"/>
      <w:sz w:val="22"/>
      <w:szCs w:val="22"/>
      <w:u w:val="none"/>
    </w:rPr>
  </w:style>
  <w:style w:type="character" w:customStyle="1" w:styleId="19">
    <w:name w:val="font41"/>
    <w:basedOn w:val="11"/>
    <w:qFormat/>
    <w:uiPriority w:val="0"/>
    <w:rPr>
      <w:rFonts w:hint="eastAsia" w:ascii="宋体" w:hAnsi="宋体" w:eastAsia="宋体" w:cs="宋体"/>
      <w:b/>
      <w:bCs/>
      <w:color w:val="000000"/>
      <w:sz w:val="20"/>
      <w:szCs w:val="20"/>
      <w:u w:val="none"/>
    </w:rPr>
  </w:style>
  <w:style w:type="character" w:customStyle="1" w:styleId="20">
    <w:name w:val="font21"/>
    <w:basedOn w:val="1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7651</Words>
  <Characters>7922</Characters>
  <Lines>67</Lines>
  <Paragraphs>19</Paragraphs>
  <TotalTime>3</TotalTime>
  <ScaleCrop>false</ScaleCrop>
  <LinksUpToDate>false</LinksUpToDate>
  <CharactersWithSpaces>7990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2025-09-05T04:41:00Z</dcterms:created>
  <dc:creator>CGB-ZZ</dc:creator>
  <cp:lastModifiedBy>米雷</cp:lastModifiedBy>
  <cp:lastPrinted>2025-12-02T01:13:00Z</cp:lastPrinted>
  <dcterms:modified xsi:type="dcterms:W3CDTF">2026-09-21T08:51:46Z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BB8E3AA8836D43F08EAD3D5D14BE0A3E_13</vt:lpwstr>
  </property>
  <property fmtid="{D5CDD505-2E9C-101B-9397-08002B2CF9AE}" pid="4" name="KSOTemplateDocerSaveRecord">
    <vt:lpwstr>eyJoZGlkIjoiMzQ3YzNlYjBkOTVkMzZhNzllNDkzYjI0NTZhZGUxNmIiLCJ1c2VySWQiOiIxNjg4NDUyMTU2In0=</vt:lpwstr>
  </property>
</Properties>
</file>