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r>
        <w:rPr>
          <w:rFonts w:ascii="Arial" w:hAnsi="Arial" w:eastAsia="等线" w:cs="Arial"/>
          <w:color w:val="000000"/>
          <w:kern w:val="0"/>
          <w:position w:val="-10"/>
          <w:szCs w:val="21"/>
          <w:highlight w:val="none"/>
        </w:rPr>
        <w:drawing>
          <wp:inline distT="0" distB="0" distL="114300" distR="114300">
            <wp:extent cx="1562100" cy="342900"/>
            <wp:effectExtent l="0" t="0" r="0" b="0"/>
            <wp:docPr id="1" name="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
                    <pic:cNvPicPr>
                      <a:picLocks noChangeAspect="1"/>
                    </pic:cNvPicPr>
                  </pic:nvPicPr>
                  <pic:blipFill>
                    <a:blip r:embed="rId6"/>
                    <a:stretch>
                      <a:fillRect/>
                    </a:stretch>
                  </pic:blipFill>
                  <pic:spPr>
                    <a:xfrm>
                      <a:off x="0" y="0"/>
                      <a:ext cx="1562100" cy="342900"/>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eastAsia"/>
          <w:b/>
          <w:bCs/>
          <w:color w:val="000066"/>
          <w:spacing w:val="-4"/>
          <w:sz w:val="36"/>
          <w:szCs w:val="36"/>
          <w:highlight w:val="none"/>
          <w:lang w:val="en-US" w:eastAsia="zh-CN"/>
        </w:rPr>
      </w:pPr>
      <w:r>
        <w:rPr>
          <w:rFonts w:hint="eastAsia"/>
          <w:b/>
          <w:bCs/>
          <w:color w:val="000066"/>
          <w:spacing w:val="-4"/>
          <w:sz w:val="36"/>
          <w:szCs w:val="36"/>
          <w:highlight w:val="none"/>
        </w:rPr>
        <w:t>淮北矿业股份有限公司</w:t>
      </w:r>
      <w:r>
        <w:rPr>
          <w:rFonts w:hint="eastAsia"/>
          <w:b/>
          <w:bCs/>
          <w:color w:val="000066"/>
          <w:spacing w:val="-4"/>
          <w:sz w:val="36"/>
          <w:szCs w:val="36"/>
          <w:highlight w:val="none"/>
          <w:lang w:val="en-US" w:eastAsia="zh-CN"/>
        </w:rPr>
        <w:t>祁南煤矿矿井轨道运输监控系统</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default"/>
          <w:b/>
          <w:bCs/>
          <w:color w:val="000066"/>
          <w:spacing w:val="-4"/>
          <w:sz w:val="36"/>
          <w:szCs w:val="36"/>
          <w:highlight w:val="none"/>
          <w:lang w:val="en-US" w:eastAsia="zh-CN"/>
        </w:rPr>
      </w:pPr>
      <w:r>
        <w:rPr>
          <w:rFonts w:hint="eastAsia"/>
          <w:b/>
          <w:bCs/>
          <w:color w:val="000066"/>
          <w:spacing w:val="-4"/>
          <w:sz w:val="36"/>
          <w:szCs w:val="36"/>
          <w:highlight w:val="none"/>
          <w:lang w:val="en-US" w:eastAsia="zh-CN"/>
        </w:rPr>
        <w:t>采购项目</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3"/>
        <w:keepNext w:val="0"/>
        <w:keepLines w:val="0"/>
        <w:pageBreakBefore w:val="0"/>
        <w:wordWrap/>
        <w:overflowPunct/>
        <w:topLinePunct w:val="0"/>
        <w:bidi w:val="0"/>
        <w:spacing w:before="273" w:line="560" w:lineRule="exact"/>
        <w:jc w:val="center"/>
        <w:outlineLvl w:val="0"/>
        <w:rPr>
          <w:rFonts w:hint="default"/>
          <w:b/>
          <w:sz w:val="84"/>
          <w:szCs w:val="84"/>
          <w:highlight w:val="none"/>
        </w:rPr>
      </w:pPr>
      <w:r>
        <w:rPr>
          <w:rFonts w:hint="eastAsia"/>
          <w:b/>
          <w:bCs/>
          <w:color w:val="0000FF"/>
          <w:spacing w:val="-37"/>
          <w:sz w:val="84"/>
          <w:szCs w:val="84"/>
          <w:highlight w:val="none"/>
          <w:lang w:val="en-US" w:eastAsia="zh-CN"/>
        </w:rPr>
        <w:t>直接</w:t>
      </w:r>
      <w:r>
        <w:rPr>
          <w:b/>
          <w:color w:val="0000FF"/>
          <w:spacing w:val="43"/>
          <w:sz w:val="84"/>
          <w:szCs w:val="84"/>
          <w:highlight w:val="none"/>
        </w:rPr>
        <w:t>采</w:t>
      </w:r>
      <w:r>
        <w:rPr>
          <w:b/>
          <w:color w:val="0000FF"/>
          <w:spacing w:val="33"/>
          <w:sz w:val="84"/>
          <w:szCs w:val="84"/>
          <w:highlight w:val="none"/>
        </w:rPr>
        <w:t>购</w:t>
      </w:r>
      <w:r>
        <w:rPr>
          <w:b/>
          <w:bCs/>
          <w:color w:val="0000FF"/>
          <w:spacing w:val="-37"/>
          <w:sz w:val="84"/>
          <w:szCs w:val="84"/>
          <w:highlight w:val="none"/>
        </w:rPr>
        <w:t>文件</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3"/>
        <w:keepNext w:val="0"/>
        <w:keepLines w:val="0"/>
        <w:pageBreakBefore w:val="0"/>
        <w:wordWrap/>
        <w:overflowPunct/>
        <w:topLinePunct w:val="0"/>
        <w:bidi w:val="0"/>
        <w:spacing w:before="104" w:line="560" w:lineRule="exact"/>
        <w:ind w:left="3674"/>
        <w:rPr>
          <w:rFonts w:hint="default"/>
          <w:highlight w:val="none"/>
        </w:rPr>
      </w:pPr>
      <w:r>
        <w:rPr>
          <w:b/>
          <w:bCs/>
          <w:color w:val="000066"/>
          <w:spacing w:val="-5"/>
          <w:highlight w:val="none"/>
        </w:rPr>
        <w:t>二〇二</w:t>
      </w:r>
      <w:r>
        <w:rPr>
          <w:rFonts w:hint="eastAsia"/>
          <w:b/>
          <w:bCs/>
          <w:color w:val="000066"/>
          <w:spacing w:val="-5"/>
          <w:highlight w:val="none"/>
          <w:lang w:val="en-US" w:eastAsia="zh-CN"/>
        </w:rPr>
        <w:t>六</w:t>
      </w:r>
      <w:r>
        <w:rPr>
          <w:b/>
          <w:bCs/>
          <w:color w:val="000066"/>
          <w:spacing w:val="-5"/>
          <w:highlight w:val="none"/>
        </w:rPr>
        <w:t>年</w:t>
      </w:r>
      <w:r>
        <w:rPr>
          <w:rFonts w:hint="eastAsia"/>
          <w:b/>
          <w:bCs/>
          <w:color w:val="000066"/>
          <w:spacing w:val="-5"/>
          <w:highlight w:val="none"/>
          <w:lang w:val="en-US" w:eastAsia="zh-CN"/>
        </w:rPr>
        <w:t>九</w:t>
      </w:r>
      <w:r>
        <w:rPr>
          <w:b/>
          <w:bCs/>
          <w:color w:val="000066"/>
          <w:spacing w:val="-5"/>
          <w:highlight w:val="none"/>
        </w:rPr>
        <w:t>月</w:t>
      </w:r>
    </w:p>
    <w:p>
      <w:pPr>
        <w:keepNext w:val="0"/>
        <w:keepLines w:val="0"/>
        <w:pageBreakBefore w:val="0"/>
        <w:wordWrap/>
        <w:overflowPunct/>
        <w:topLinePunct w:val="0"/>
        <w:bidi w:val="0"/>
        <w:spacing w:line="560" w:lineRule="exact"/>
        <w:rPr>
          <w:rFonts w:ascii="Arial" w:hAnsi="Arial" w:eastAsia="等线" w:cs="Arial"/>
          <w:szCs w:val="21"/>
          <w:highlight w:val="none"/>
          <w:lang w:bidi="ar"/>
        </w:rPr>
        <w:sectPr>
          <w:pgSz w:w="11906" w:h="16839"/>
          <w:pgMar w:top="1190" w:right="1050" w:bottom="1" w:left="1418" w:header="1" w:footer="1" w:gutter="0"/>
          <w:cols w:space="0" w:num="1"/>
          <w:docGrid w:type="lines" w:linePitch="312" w:charSpace="0"/>
        </w:sectPr>
      </w:pPr>
    </w:p>
    <w:p>
      <w:pPr>
        <w:pStyle w:val="3"/>
        <w:keepNext w:val="0"/>
        <w:keepLines w:val="0"/>
        <w:pageBreakBefore w:val="0"/>
        <w:wordWrap/>
        <w:overflowPunct/>
        <w:topLinePunct w:val="0"/>
        <w:bidi w:val="0"/>
        <w:spacing w:before="64" w:line="560" w:lineRule="exact"/>
        <w:jc w:val="center"/>
        <w:outlineLvl w:val="0"/>
        <w:rPr>
          <w:rFonts w:hint="default"/>
          <w:b/>
          <w:bCs/>
          <w:spacing w:val="-4"/>
          <w:sz w:val="36"/>
          <w:szCs w:val="36"/>
          <w:highlight w:val="none"/>
        </w:rPr>
      </w:pPr>
      <w:r>
        <w:rPr>
          <w:b/>
          <w:bCs/>
          <w:spacing w:val="-4"/>
          <w:sz w:val="36"/>
          <w:szCs w:val="36"/>
          <w:highlight w:val="none"/>
        </w:rPr>
        <w:t>第一章</w:t>
      </w:r>
      <w:r>
        <w:rPr>
          <w:rFonts w:hint="eastAsia"/>
          <w:b/>
          <w:bCs/>
          <w:spacing w:val="-4"/>
          <w:sz w:val="36"/>
          <w:szCs w:val="36"/>
          <w:highlight w:val="none"/>
          <w:lang w:val="en-US" w:eastAsia="zh-CN"/>
        </w:rPr>
        <w:t>直接</w:t>
      </w:r>
      <w:r>
        <w:rPr>
          <w:b/>
          <w:bCs/>
          <w:spacing w:val="-4"/>
          <w:sz w:val="36"/>
          <w:szCs w:val="36"/>
          <w:highlight w:val="none"/>
        </w:rPr>
        <w:t>采购公告</w:t>
      </w:r>
    </w:p>
    <w:p>
      <w:pPr>
        <w:pStyle w:val="3"/>
        <w:keepNext w:val="0"/>
        <w:keepLines w:val="0"/>
        <w:pageBreakBefore w:val="0"/>
        <w:wordWrap/>
        <w:overflowPunct/>
        <w:topLinePunct w:val="0"/>
        <w:bidi w:val="0"/>
        <w:spacing w:before="64" w:line="560" w:lineRule="exact"/>
        <w:jc w:val="center"/>
        <w:outlineLvl w:val="0"/>
        <w:rPr>
          <w:rFonts w:hint="default"/>
          <w:b/>
          <w:bCs/>
          <w:spacing w:val="-4"/>
          <w:sz w:val="36"/>
          <w:szCs w:val="36"/>
          <w:highlight w:val="none"/>
        </w:rPr>
      </w:pPr>
    </w:p>
    <w:p>
      <w:pPr>
        <w:keepNext w:val="0"/>
        <w:keepLines w:val="0"/>
        <w:pageBreakBefore w:val="0"/>
        <w:wordWrap/>
        <w:overflowPunct/>
        <w:topLinePunct w:val="0"/>
        <w:bidi w:val="0"/>
        <w:spacing w:line="56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淮北矿业股份有限公司祁南煤矿矿井轨道运输监控系统</w:t>
      </w:r>
    </w:p>
    <w:p>
      <w:pPr>
        <w:keepNext w:val="0"/>
        <w:keepLines w:val="0"/>
        <w:pageBreakBefore w:val="0"/>
        <w:wordWrap/>
        <w:overflowPunct/>
        <w:topLinePunct w:val="0"/>
        <w:bidi w:val="0"/>
        <w:spacing w:line="56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采购项目</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采购公告</w:t>
      </w:r>
    </w:p>
    <w:p>
      <w:pPr>
        <w:keepNext w:val="0"/>
        <w:keepLines w:val="0"/>
        <w:pageBreakBefore w:val="0"/>
        <w:wordWrap/>
        <w:overflowPunct/>
        <w:topLinePunct w:val="0"/>
        <w:bidi w:val="0"/>
        <w:spacing w:line="560" w:lineRule="exact"/>
        <w:jc w:val="center"/>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一、采购条件</w:t>
      </w:r>
    </w:p>
    <w:p>
      <w:pPr>
        <w:keepNext w:val="0"/>
        <w:keepLines w:val="0"/>
        <w:pageBreakBefore w:val="0"/>
        <w:wordWrap/>
        <w:overflowPunct/>
        <w:topLinePunct w:val="0"/>
        <w:bidi w:val="0"/>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淮北矿业股份有限公司祁南煤矿矿井轨道运输监控系统采购项目</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采购项目资金来自企业自筹。本项目已具备采购条件，现对该项目进行</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二、采购范围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采购1套合肥工大高科信息科技股份有限公司生产的KJ293(A)型矿用轨道运输监控系统，用于淮北矿业股份有限公司祁南煤矿井下轨道运输监控系统扩容升级。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交货日期：</w:t>
      </w:r>
      <w:r>
        <w:rPr>
          <w:rFonts w:hint="eastAsia" w:ascii="仿宋_GB2312" w:hAnsi="仿宋_GB2312" w:eastAsia="仿宋_GB2312" w:cs="仿宋_GB2312"/>
          <w:color w:val="auto"/>
          <w:sz w:val="32"/>
          <w:szCs w:val="32"/>
          <w:highlight w:val="none"/>
          <w:lang w:val="en-US" w:eastAsia="zh-CN"/>
        </w:rPr>
        <w:t>成交供应商</w:t>
      </w:r>
      <w:r>
        <w:rPr>
          <w:rFonts w:hint="eastAsia" w:ascii="仿宋_GB2312" w:hAnsi="仿宋_GB2312" w:eastAsia="仿宋_GB2312" w:cs="仿宋_GB2312"/>
          <w:sz w:val="32"/>
          <w:szCs w:val="32"/>
          <w:highlight w:val="none"/>
          <w:lang w:val="en-US" w:eastAsia="zh-CN"/>
        </w:rPr>
        <w:t>合同生效后，30</w:t>
      </w:r>
      <w:r>
        <w:rPr>
          <w:rFonts w:hint="eastAsia" w:ascii="仿宋_GB2312" w:hAnsi="仿宋_GB2312" w:eastAsia="仿宋_GB2312" w:cs="仿宋_GB2312"/>
          <w:sz w:val="32"/>
          <w:szCs w:val="32"/>
          <w:highlight w:val="none"/>
        </w:rPr>
        <w:t>日内</w:t>
      </w:r>
      <w:r>
        <w:rPr>
          <w:rFonts w:hint="eastAsia" w:ascii="仿宋_GB2312" w:hAnsi="仿宋_GB2312" w:eastAsia="仿宋_GB2312" w:cs="仿宋_GB2312"/>
          <w:sz w:val="32"/>
          <w:szCs w:val="32"/>
          <w:highlight w:val="none"/>
          <w:lang w:val="en-US" w:eastAsia="zh-CN"/>
        </w:rPr>
        <w:t>完成</w:t>
      </w:r>
      <w:r>
        <w:rPr>
          <w:rFonts w:hint="eastAsia" w:ascii="仿宋_GB2312" w:hAnsi="仿宋_GB2312" w:eastAsia="仿宋_GB2312" w:cs="仿宋_GB2312"/>
          <w:sz w:val="32"/>
          <w:szCs w:val="32"/>
          <w:highlight w:val="none"/>
        </w:rPr>
        <w:t>交货。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交货地点：淮北矿业股份有限公司</w:t>
      </w:r>
      <w:r>
        <w:rPr>
          <w:rFonts w:hint="eastAsia" w:ascii="仿宋_GB2312" w:hAnsi="仿宋_GB2312" w:eastAsia="仿宋_GB2312" w:cs="仿宋_GB2312"/>
          <w:sz w:val="32"/>
          <w:szCs w:val="32"/>
          <w:highlight w:val="none"/>
          <w:lang w:eastAsia="zh-CN"/>
        </w:rPr>
        <w:t>祁南煤矿</w:t>
      </w:r>
      <w:r>
        <w:rPr>
          <w:rFonts w:hint="eastAsia" w:ascii="仿宋_GB2312" w:hAnsi="仿宋_GB2312" w:eastAsia="仿宋_GB2312" w:cs="仿宋_GB2312"/>
          <w:sz w:val="32"/>
          <w:szCs w:val="32"/>
          <w:highlight w:val="none"/>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三、供应商资格要求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应具备承担本</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项目资质条件、能力和信誉。资格要求包括以下内容: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须为依法注册的独立法人或其他组织，须提供有效的证明文件。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必须是生产制造商。具有能够满足技术性能要求的矿用产品安全标志证书（国家及行业安标管理目录外非强制安标管理的产品除外），具体详见技术规格书要求。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）业绩要求：需提供同类物资销售业绩。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）信誉要求：当期未被列入淮北矿业（集团）有限责任公司“停用、禁用名单”“黑名单”。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不接受联合体</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六</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须知规定的其他条件。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四</w:t>
      </w:r>
      <w:r>
        <w:rPr>
          <w:rFonts w:hint="eastAsia" w:ascii="黑体" w:hAnsi="黑体" w:eastAsia="黑体" w:cs="黑体"/>
          <w:sz w:val="32"/>
          <w:szCs w:val="32"/>
          <w:highlight w:val="none"/>
        </w:rPr>
        <w:t>、递交文件的截止时间、方式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本项目采用密封线下递交纸质响应文件（含U盘存储的电子文本）的方式。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响应文件递交的截止时间为</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highlight w:val="none"/>
          <w:lang w:val="en-US" w:eastAsia="zh-CN"/>
        </w:rPr>
        <w:t>00</w:t>
      </w:r>
      <w:r>
        <w:rPr>
          <w:rFonts w:hint="eastAsia" w:ascii="仿宋_GB2312" w:hAnsi="仿宋_GB2312" w:eastAsia="仿宋_GB2312" w:cs="仿宋_GB2312"/>
          <w:color w:val="auto"/>
          <w:sz w:val="32"/>
          <w:szCs w:val="32"/>
          <w:highlight w:val="none"/>
        </w:rPr>
        <w:t>分</w:t>
      </w:r>
      <w:r>
        <w:rPr>
          <w:rFonts w:hint="eastAsia" w:ascii="仿宋_GB2312" w:hAnsi="仿宋_GB2312" w:eastAsia="仿宋_GB2312" w:cs="仿宋_GB2312"/>
          <w:sz w:val="32"/>
          <w:szCs w:val="32"/>
          <w:highlight w:val="none"/>
        </w:rPr>
        <w:t>，地点为安徽省淮北市相山区人民中路276号东7楼会议室。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逾期送达的、未送达指定地点的或者未密封的线下纸质响应文件，采购人将予以拒收。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五</w:t>
      </w:r>
      <w:r>
        <w:rPr>
          <w:rFonts w:hint="eastAsia" w:ascii="黑体" w:hAnsi="黑体" w:eastAsia="黑体" w:cs="黑体"/>
          <w:sz w:val="32"/>
          <w:szCs w:val="32"/>
          <w:highlight w:val="none"/>
        </w:rPr>
        <w:t>、联系方式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采购人：淮北矿业股份有限公司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郑先生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电话：0561-</w:t>
      </w:r>
      <w:r>
        <w:rPr>
          <w:rFonts w:hint="eastAsia" w:ascii="仿宋_GB2312" w:hAnsi="仿宋_GB2312" w:eastAsia="仿宋_GB2312" w:cs="仿宋_GB2312"/>
          <w:sz w:val="32"/>
          <w:szCs w:val="32"/>
          <w:highlight w:val="none"/>
          <w:lang w:val="en-US" w:eastAsia="zh-CN"/>
        </w:rPr>
        <w:t>4958202</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地址：安徽省淮北市相山区人民中路276号</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第二章供应商须知</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一、项目概况</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本采购项目已列入淮北矿业股份有限公司计划中，资金渠道已落实。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FF0000"/>
          <w:sz w:val="32"/>
          <w:szCs w:val="32"/>
          <w:highlight w:val="none"/>
        </w:rPr>
      </w:pPr>
      <w:r>
        <w:rPr>
          <w:rFonts w:hint="eastAsia" w:ascii="仿宋_GB2312" w:hAnsi="仿宋_GB2312" w:eastAsia="仿宋_GB2312" w:cs="仿宋_GB2312"/>
          <w:color w:val="auto"/>
          <w:sz w:val="32"/>
          <w:szCs w:val="32"/>
          <w:highlight w:val="none"/>
        </w:rPr>
        <w:t>本采购具体采购明细及技术要求详见第四章。</w:t>
      </w: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二、供应商须知</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(一)一般事项</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应遵守国家有关法律法规及条例，认真阅读</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文件，按照</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文件要求，对</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文件作出实质性响应，否则</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参与资格</w:t>
      </w:r>
      <w:r>
        <w:rPr>
          <w:rFonts w:hint="eastAsia" w:ascii="仿宋_GB2312" w:hAnsi="仿宋_GB2312" w:eastAsia="仿宋_GB2312" w:cs="仿宋_GB2312"/>
          <w:sz w:val="32"/>
          <w:szCs w:val="32"/>
          <w:highlight w:val="none"/>
        </w:rPr>
        <w:t>将被否决。</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物资为年度集中采购，</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报价时应充分考虑市场因素带来的价格变化风险，合理进行报价，并需在中</w:t>
      </w:r>
      <w:r>
        <w:rPr>
          <w:rFonts w:hint="eastAsia" w:ascii="仿宋_GB2312" w:hAnsi="仿宋_GB2312" w:eastAsia="仿宋_GB2312" w:cs="仿宋_GB2312"/>
          <w:sz w:val="32"/>
          <w:szCs w:val="32"/>
          <w:highlight w:val="none"/>
          <w:lang w:val="en-US" w:eastAsia="zh-CN"/>
        </w:rPr>
        <w:t>选</w:t>
      </w:r>
      <w:r>
        <w:rPr>
          <w:rFonts w:hint="eastAsia" w:ascii="仿宋_GB2312" w:hAnsi="仿宋_GB2312" w:eastAsia="仿宋_GB2312" w:cs="仿宋_GB2312"/>
          <w:sz w:val="32"/>
          <w:szCs w:val="32"/>
          <w:highlight w:val="none"/>
        </w:rPr>
        <w:t>后承担相应履约责任。</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不得存在下列情形之一：</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存在利害关系且可能影响</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公正性。</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（2）与本</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为同一个单位负责人（</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营业执照中的法定代表人或单位负责人）。</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（3）与本</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存在控股、管理关系。</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）为本</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项目提供过设计、编制技术规范和其他文件的咨询服务。</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）被依法暂停或者取消</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资格。</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）被责令停产停业、暂扣或者吊销许可证、暂扣或者吊销执照。</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）进入清算程序，或被宣告破产，或其他丧失履约能力的情形。</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）2023年1月1日以来发生重大产品质量问题（以相关行业主管部门的行政处罚决定或司法机关出具的有关法律文书为准）。</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）被工商行政管理机关在全国企业信用信息公示系统中列入严重违法失信企业名单。</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0</w:t>
      </w:r>
      <w:r>
        <w:rPr>
          <w:rFonts w:hint="eastAsia" w:ascii="仿宋_GB2312" w:hAnsi="仿宋_GB2312" w:eastAsia="仿宋_GB2312" w:cs="仿宋_GB2312"/>
          <w:sz w:val="32"/>
          <w:szCs w:val="32"/>
          <w:highlight w:val="none"/>
        </w:rPr>
        <w:t>）企业及法定代表人当期不得在“中国执行信息公开网”“国家企业信用信息公示系统”“信用中国”上被列入经营异常目录或失信被执行人名单。</w:t>
      </w:r>
    </w:p>
    <w:p>
      <w:pPr>
        <w:pStyle w:val="3"/>
        <w:keepNext w:val="0"/>
        <w:keepLines w:val="0"/>
        <w:pageBreakBefore w:val="0"/>
        <w:wordWrap/>
        <w:overflowPunct/>
        <w:topLinePunct w:val="0"/>
        <w:bidi w:val="0"/>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（11）2023年1月1日以来供应商或其法定代表人、拟委任的项目负责人有行贿犯罪行为的（以中国裁判文书网查询结果为准）。</w:t>
      </w:r>
    </w:p>
    <w:p>
      <w:pPr>
        <w:keepNext w:val="0"/>
        <w:keepLines w:val="0"/>
        <w:pageBreakBefore w:val="0"/>
        <w:numPr>
          <w:ilvl w:val="0"/>
          <w:numId w:val="0"/>
        </w:numPr>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须知规定的其他情形。</w:t>
      </w:r>
    </w:p>
    <w:p>
      <w:pPr>
        <w:keepNext w:val="0"/>
        <w:keepLines w:val="0"/>
        <w:pageBreakBefore w:val="0"/>
        <w:numPr>
          <w:ilvl w:val="0"/>
          <w:numId w:val="0"/>
        </w:numPr>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（二）采购文件的澄清与说明</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1.任何要求澄清采购文件的响应供应商均应在响应截止时间之前书面提请采购人解释，采购人进行答复。</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人可以对已发出的采购文件进行必要的澄清或者修改，澄清或者修改的内容可能影响响应文件编制的，响应供应商需书面说明，采购人接到响应供应商书面说明后，应当顺延递交响应文件的截止时间。采购人对此项目的澄清或者修改以及响应供应商的答疑是采购文件的组成部分，与采购文件具有同等效力。</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（三）响应文件要求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1.响应文件应经响应供应商单位盖章</w:t>
      </w:r>
      <w:r>
        <w:rPr>
          <w:rFonts w:hint="eastAsia" w:ascii="仿宋_GB2312" w:hAnsi="仿宋_GB2312" w:eastAsia="仿宋_GB2312" w:cs="仿宋_GB2312"/>
          <w:sz w:val="32"/>
          <w:szCs w:val="32"/>
          <w:highlight w:val="none"/>
          <w:lang w:val="en-US" w:eastAsia="zh-CN"/>
        </w:rPr>
        <w:t>或</w:t>
      </w:r>
      <w:r>
        <w:rPr>
          <w:rFonts w:hint="eastAsia" w:ascii="仿宋_GB2312" w:hAnsi="仿宋_GB2312" w:eastAsia="仿宋_GB2312" w:cs="仿宋_GB2312"/>
          <w:sz w:val="32"/>
          <w:szCs w:val="32"/>
          <w:highlight w:val="none"/>
        </w:rPr>
        <w:t>单位负责人签字。响应供应商应对其响应文件使用的印章和所有资质证书的真实性、合法性负责，并承担法律责任。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2.响应文件应当对采购文件的实质性要求和条件作出满足性或更有利于采购人的响应，否则，响应文件将被否决。</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应当对</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文件有关物资采购数量、质量、货物包装方式、检验标准和方法、主要合同条款等实质性内容作出响应。</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rPr>
        <w:t>.响应文件中有编制格式的部分，参照采购文件第三章规定的格式编制。本章未提供格式的部分，</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应自行拟定，但内容须完整、清晰，并符合</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文件的其他要求。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4</w:t>
      </w:r>
      <w:r>
        <w:rPr>
          <w:rFonts w:hint="eastAsia" w:ascii="仿宋_GB2312" w:hAnsi="仿宋_GB2312" w:eastAsia="仿宋_GB2312" w:cs="仿宋_GB2312"/>
          <w:sz w:val="32"/>
          <w:szCs w:val="32"/>
          <w:highlight w:val="none"/>
        </w:rPr>
        <w:t>.响应供应商应保证响应文件及资料均未侵犯他人的知识产权和商业秘密，否则响应供应商必须承担由此引起的全部法律责任和经济责任。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5</w:t>
      </w:r>
      <w:r>
        <w:rPr>
          <w:rFonts w:hint="eastAsia" w:ascii="仿宋_GB2312" w:hAnsi="仿宋_GB2312" w:eastAsia="仿宋_GB2312" w:cs="仿宋_GB2312"/>
          <w:sz w:val="32"/>
          <w:szCs w:val="32"/>
          <w:highlight w:val="none"/>
        </w:rPr>
        <w:t>.若响应供应商使用了他人的专利、专有技术，涉及的费用由响应供应商负责。</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6</w:t>
      </w:r>
      <w:r>
        <w:rPr>
          <w:rFonts w:hint="eastAsia" w:ascii="仿宋_GB2312" w:hAnsi="仿宋_GB2312" w:eastAsia="仿宋_GB2312" w:cs="仿宋_GB2312"/>
          <w:sz w:val="32"/>
          <w:szCs w:val="32"/>
          <w:highlight w:val="none"/>
        </w:rPr>
        <w:t>.采购人不接受响应供应商对任何未办理正常进口手续的非中华人民共和国境内生产的货物的报价。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7</w:t>
      </w:r>
      <w:r>
        <w:rPr>
          <w:rFonts w:hint="eastAsia" w:ascii="仿宋_GB2312" w:hAnsi="仿宋_GB2312" w:eastAsia="仿宋_GB2312" w:cs="仿宋_GB2312"/>
          <w:sz w:val="32"/>
          <w:szCs w:val="32"/>
          <w:highlight w:val="none"/>
        </w:rPr>
        <w:t>.响应文件对采购文件的全部偏差，均应在响应文件的商务和技术偏差表中列明，除列明的内容外，视为响应采购文件的全部要求。</w:t>
      </w: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三、响应文件的开启、谈判与评审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（一）开启</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1.开启时间和地点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采购人在采购文件规定的响应截止时间和开启地点进行开启响应文件，如有变动</w:t>
      </w:r>
      <w:r>
        <w:rPr>
          <w:rFonts w:hint="eastAsia" w:ascii="仿宋_GB2312" w:hAnsi="仿宋_GB2312" w:eastAsia="仿宋_GB2312" w:cs="仿宋_GB2312"/>
          <w:sz w:val="32"/>
          <w:szCs w:val="32"/>
          <w:highlight w:val="none"/>
          <w:lang w:val="en-US" w:eastAsia="zh-CN"/>
        </w:rPr>
        <w:t>另行通知</w:t>
      </w:r>
      <w:r>
        <w:rPr>
          <w:rFonts w:hint="eastAsia" w:ascii="仿宋_GB2312" w:hAnsi="仿宋_GB2312" w:eastAsia="仿宋_GB2312" w:cs="仿宋_GB2312"/>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2.开启方式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本次采购采用现场谈判的方式开启响应文件，响应供应商需安排人员到达谈判现场。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（二）谈判及初步评审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（1）采购人将组建谈判小组，谈判小组由</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人组成。</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（2）谈判小组成员有下列情形之一的，应当回避：</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①响应供应商主要负责人或响应供应商主要负责人的近亲属；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②与响应供应商有经济利益或其他利害关系，可能影响公正评审的。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（3）在谈判和评审过程中，谈判小组成员对需要共同认定的事项存在争议的，将按照少数服从多数的原则作出结论。持不同意见的谈判小组成员应当在评审报告上签署不同意见，否则视为同意评审报告。</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2.初步评审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（1）谈判小组主要对响应供应商的资格和</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文件的响应性进行审查，以判断响应文件的形式是否符合要求、供应商是否符合资格要求、响应文件是否实质性响应采购文件的要求。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中有含义不明确、同类问题表述不一致或有明显文字和计算错误的内容，谈判小组应要求响应供应商在规定的时间内进行澄清、说明和补正。响应供应商澄清、说明和补正的内容应有法定代表人（单位负责人）或其授权的代理人签字或加盖单位章。澄清、说明和补正的内容作为响应文件的组成部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（3）只有形式评审和资格评审合格且实质性响应采购文件要求的响应供应商才可通过初步评审。经响应供应商澄清、说明和补正后仍未通过初步评审的响应文件将被视为无效，谈判小组应告知有关响应供应商。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（1）谈判小组须与通过初步评审的供应商</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。供应商的法定代表人（单位负责人）或其授权的代理人应参加谈判。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所有成员应集中与供应商进行谈判，并根据谈判情况，可要求供应商现场补充有效的响应文件，补充响应文件与首次递交的响应文件共同构成响应文件的组成部分，二者内容不一致的，以补充内容为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（3）评审的依据是采购文件和响应文件，对于响应文件中描述不清楚的部分，谈判小组可请供应商以现场</w:t>
      </w:r>
      <w:r>
        <w:rPr>
          <w:rFonts w:hint="eastAsia" w:ascii="仿宋_GB2312" w:hAnsi="仿宋_GB2312" w:eastAsia="仿宋_GB2312" w:cs="仿宋_GB2312"/>
          <w:sz w:val="32"/>
          <w:szCs w:val="32"/>
          <w:highlight w:val="none"/>
          <w:lang w:val="en-US" w:eastAsia="zh-CN"/>
        </w:rPr>
        <w:t>补充响应文件的</w:t>
      </w:r>
      <w:r>
        <w:rPr>
          <w:rFonts w:hint="eastAsia" w:ascii="仿宋_GB2312" w:hAnsi="仿宋_GB2312" w:eastAsia="仿宋_GB2312" w:cs="仿宋_GB2312"/>
          <w:sz w:val="32"/>
          <w:szCs w:val="32"/>
          <w:highlight w:val="none"/>
        </w:rPr>
        <w:t>方式澄清，但澄清不得改变响应文件的实质性内容。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（4）谈判小组将拒绝被确定为非实质性响应的报价，供应商不能通过修正或撤销不符之处而使其报价成为实质性响应的报价。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（5）谈判小组会严格按照采购文件的要求进行评审。供应商不得企图向谈判小组成员施加任何影响，否则将会导致响应报价作废。</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谈判结束后，谈判小组将要求参加谈判的供应商在规定时间内递交最终报价；最终报价应由供应商的法定代表人（单位负责人）或其授权的代理人签字或加盖单位章。最终报价是供应商响应文件的组成部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（7）评审完成后，成交</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名单在淮北矿业电子商务采购平台发布，供应商自行关注。</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rPr>
        <w:t>对采购人的纪律要求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采购人不得泄漏采购活动中应当保密的情况和资料，不得与响应供应商串通损害国家利益、社会公共利益或者他人合法权益。</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rPr>
        <w:t>对响应供应商的纪律要求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响应供应商不得相互串通或者与采购人串通，不得向采购人或者谈判小组成员行贿谋取成交，不得以他人名义参加采购活动或者以其他方式弄虚作假骗取成交；不得以任何方式干扰、影响评审工作。</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对谈判小组成员的纪律要求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谈判小组成员不得收受他人的财物或者其他好处，不得向他人透漏对响应文件的评审和比较、成交</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的推荐情况以及评审有关的其他情况。在评审活动中，谈判小组成员不得擅离职守，影响评审程序正常进行。</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第三章响应文件格式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一、响应供应商应按采购文件中的规定提供所有书面材料（应含有采购文件的所有内容），包括但不限于：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（一）报价函。</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（二）法定代表人（单位负责人）身份证明及法人代表授权委托书。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（三）报价</w:t>
      </w:r>
      <w:r>
        <w:rPr>
          <w:rFonts w:hint="eastAsia" w:ascii="仿宋_GB2312" w:hAnsi="仿宋_GB2312" w:eastAsia="仿宋_GB2312" w:cs="仿宋_GB2312"/>
          <w:color w:val="auto"/>
          <w:sz w:val="32"/>
          <w:szCs w:val="32"/>
          <w:highlight w:val="none"/>
          <w:lang w:val="en-US" w:eastAsia="zh-CN"/>
        </w:rPr>
        <w:t>明细</w:t>
      </w:r>
      <w:r>
        <w:rPr>
          <w:rFonts w:hint="eastAsia" w:ascii="仿宋_GB2312" w:hAnsi="仿宋_GB2312" w:eastAsia="仿宋_GB2312" w:cs="仿宋_GB2312"/>
          <w:color w:val="auto"/>
          <w:sz w:val="32"/>
          <w:szCs w:val="32"/>
          <w:highlight w:val="none"/>
        </w:rPr>
        <w:t>表（按照采购文件</w:t>
      </w:r>
      <w:r>
        <w:rPr>
          <w:rFonts w:hint="eastAsia" w:ascii="仿宋_GB2312" w:hAnsi="仿宋_GB2312" w:eastAsia="仿宋_GB2312" w:cs="仿宋_GB2312"/>
          <w:color w:val="auto"/>
          <w:sz w:val="32"/>
          <w:szCs w:val="32"/>
          <w:highlight w:val="none"/>
          <w:lang w:val="en-US" w:eastAsia="zh-CN"/>
        </w:rPr>
        <w:t>报价要求</w:t>
      </w:r>
      <w:r>
        <w:rPr>
          <w:rFonts w:hint="eastAsia" w:ascii="仿宋_GB2312" w:hAnsi="仿宋_GB2312" w:eastAsia="仿宋_GB2312" w:cs="仿宋_GB2312"/>
          <w:color w:val="auto"/>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（四）价格构成表（按照采购文件格式）。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（五）售后服务承诺。</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（六）业绩。</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（七）资格审查资料。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（八）技术说明，包括技术性能的详细描述、技术标准、技术文件、技术数据表等。</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（九）响应技术偏差表（按照采购文件格式）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（十）响应商务偏差表（按照采购文件格式）。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备注：如果响应供应商没有以书面形式对采购文件的条文提出有偏差，则意味着响应供应商提供的报价条件（包括商务和技术）完全符合本采购文件的要求。如有偏差，不管多么微小都应在响应文件中以“商务偏差”和“技术偏差”的形式，在“商务偏差表”和“技术偏差表”中加以详细描述。</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（十一）响应供应商认为需要表述的、与本次采购有关的其他内容。</w:t>
      </w:r>
    </w:p>
    <w:p>
      <w:pPr>
        <w:keepNext w:val="0"/>
        <w:keepLines w:val="0"/>
        <w:pageBreakBefore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二、标准格式及表格</w:t>
      </w:r>
    </w:p>
    <w:p>
      <w:pPr>
        <w:keepNext w:val="0"/>
        <w:keepLines w:val="0"/>
        <w:pageBreakBefore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（一）报价函</w:t>
      </w:r>
    </w:p>
    <w:p>
      <w:pPr>
        <w:keepNext w:val="0"/>
        <w:keepLines w:val="0"/>
        <w:pageBreakBefore w:val="0"/>
        <w:widowControl/>
        <w:wordWrap/>
        <w:overflowPunct/>
        <w:topLinePunct w:val="0"/>
        <w:bidi w:val="0"/>
        <w:spacing w:line="560" w:lineRule="exact"/>
        <w:ind w:firstLine="4160" w:firstLineChars="1300"/>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报价函</w:t>
      </w:r>
    </w:p>
    <w:p>
      <w:pPr>
        <w:keepNext w:val="0"/>
        <w:keepLines w:val="0"/>
        <w:pageBreakBefore w:val="0"/>
        <w:widowControl/>
        <w:wordWrap/>
        <w:overflowPunct/>
        <w:topLinePunct w:val="0"/>
        <w:bidi w:val="0"/>
        <w:spacing w:line="560" w:lineRule="exact"/>
        <w:ind w:firstLine="4160" w:firstLineChars="1300"/>
        <w:jc w:val="left"/>
        <w:rPr>
          <w:rFonts w:hint="eastAsia" w:ascii="仿宋_GB2312" w:hAnsi="仿宋_GB2312" w:eastAsia="仿宋_GB2312" w:cs="仿宋_GB2312"/>
          <w:sz w:val="32"/>
          <w:szCs w:val="32"/>
          <w:highlight w:val="none"/>
        </w:rPr>
      </w:pPr>
    </w:p>
    <w:p>
      <w:pPr>
        <w:keepNext w:val="0"/>
        <w:keepLines w:val="0"/>
        <w:pageBreakBefore w:val="0"/>
        <w:widowControl/>
        <w:wordWrap/>
        <w:overflowPunct/>
        <w:topLinePunct w:val="0"/>
        <w:bidi w:val="0"/>
        <w:spacing w:line="560" w:lineRule="exact"/>
        <w:ind w:firstLine="4160" w:firstLineChars="1300"/>
        <w:jc w:val="left"/>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淮北矿业股份有限公司物资分公司：</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1.我方已仔细研究了采购文件全部内容，同意以下条件，按合同约定履行义务。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总报价(含税价)：大写（￥：小写）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具体供货时间</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合同签订后30</w:t>
      </w:r>
      <w:r>
        <w:rPr>
          <w:rFonts w:hint="eastAsia" w:ascii="仿宋_GB2312" w:hAnsi="仿宋_GB2312" w:eastAsia="仿宋_GB2312" w:cs="仿宋_GB2312"/>
          <w:sz w:val="32"/>
          <w:szCs w:val="32"/>
          <w:highlight w:val="none"/>
        </w:rPr>
        <w:t>日内</w:t>
      </w:r>
      <w:r>
        <w:rPr>
          <w:rFonts w:hint="eastAsia" w:ascii="仿宋_GB2312" w:hAnsi="仿宋_GB2312" w:eastAsia="仿宋_GB2312" w:cs="仿宋_GB2312"/>
          <w:sz w:val="32"/>
          <w:szCs w:val="32"/>
          <w:highlight w:val="none"/>
          <w:lang w:val="en-US" w:eastAsia="zh-CN"/>
        </w:rPr>
        <w:t>完成</w:t>
      </w:r>
      <w:r>
        <w:rPr>
          <w:rFonts w:hint="eastAsia" w:ascii="仿宋_GB2312" w:hAnsi="仿宋_GB2312" w:eastAsia="仿宋_GB2312" w:cs="仿宋_GB2312"/>
          <w:sz w:val="32"/>
          <w:szCs w:val="32"/>
          <w:highlight w:val="none"/>
        </w:rPr>
        <w:t>交货；</w:t>
      </w:r>
      <w:r>
        <w:rPr>
          <w:rFonts w:hint="eastAsia" w:ascii="仿宋_GB2312" w:hAnsi="仿宋_GB2312" w:eastAsia="仿宋_GB2312" w:cs="仿宋_GB2312"/>
          <w:sz w:val="32"/>
          <w:szCs w:val="32"/>
          <w:highlight w:val="none"/>
          <w:lang w:val="en-US" w:eastAsia="zh-CN"/>
        </w:rPr>
        <w:t>交货地点为祁南煤矿</w:t>
      </w:r>
      <w:r>
        <w:rPr>
          <w:rFonts w:hint="eastAsia" w:ascii="仿宋_GB2312" w:hAnsi="仿宋_GB2312" w:eastAsia="仿宋_GB2312" w:cs="仿宋_GB2312"/>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2.我方承诺除商务和技术偏差表列出的偏差外，我方响应采购文件及技术规格书的全部要求。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3.我方承诺在采购文件规定的有效期内不撤销响应文件。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4.如我方成为成交供应商，我方承诺: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(1)在公示结束后，在3</w:t>
      </w:r>
      <w:r>
        <w:rPr>
          <w:rFonts w:ascii="仿宋_GB2312" w:hAnsi="仿宋_GB2312" w:eastAsia="仿宋_GB2312" w:cs="仿宋_GB2312"/>
          <w:sz w:val="32"/>
          <w:szCs w:val="32"/>
          <w:highlight w:val="none"/>
        </w:rPr>
        <w:t>0</w:t>
      </w:r>
      <w:r>
        <w:rPr>
          <w:rFonts w:hint="eastAsia" w:ascii="仿宋_GB2312" w:hAnsi="仿宋_GB2312" w:eastAsia="仿宋_GB2312" w:cs="仿宋_GB2312"/>
          <w:sz w:val="32"/>
          <w:szCs w:val="32"/>
          <w:highlight w:val="none"/>
        </w:rPr>
        <w:t>日内与你方签订合同。</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(2)在签订合同时不向你方提出附加条件。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)在合同约定的期限内完成合同规定的全部义务。</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5.我方在此声明，所递交的响应文件及有关资料内容完整、真实和准确。</w:t>
      </w:r>
    </w:p>
    <w:p>
      <w:pPr>
        <w:keepNext w:val="0"/>
        <w:keepLines w:val="0"/>
        <w:pageBreakBefore w:val="0"/>
        <w:wordWrap/>
        <w:overflowPunct/>
        <w:topLinePunct w:val="0"/>
        <w:bidi w:val="0"/>
        <w:spacing w:line="560" w:lineRule="exact"/>
        <w:ind w:firstLine="3520" w:firstLineChars="1100"/>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5120" w:firstLineChars="1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供应商:(盖单位章)</w:t>
      </w:r>
    </w:p>
    <w:p>
      <w:pPr>
        <w:keepNext w:val="0"/>
        <w:keepLines w:val="0"/>
        <w:pageBreakBefore w:val="0"/>
        <w:wordWrap/>
        <w:overflowPunct/>
        <w:topLinePunct w:val="0"/>
        <w:bidi w:val="0"/>
        <w:spacing w:line="560" w:lineRule="exact"/>
        <w:ind w:firstLine="960" w:firstLineChars="3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法定代表人(单位负责人)或授权代表：(签字或盖章)</w:t>
      </w:r>
    </w:p>
    <w:p>
      <w:pPr>
        <w:keepNext w:val="0"/>
        <w:keepLines w:val="0"/>
        <w:pageBreakBefore w:val="0"/>
        <w:wordWrap/>
        <w:overflowPunct/>
        <w:topLinePunct w:val="0"/>
        <w:bidi w:val="0"/>
        <w:spacing w:line="560" w:lineRule="exact"/>
        <w:ind w:firstLine="5440" w:firstLineChars="17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年月日</w:t>
      </w:r>
    </w:p>
    <w:p>
      <w:pPr>
        <w:keepNext w:val="0"/>
        <w:keepLines w:val="0"/>
        <w:pageBreakBefore w:val="0"/>
        <w:wordWrap/>
        <w:overflowPunct/>
        <w:topLinePunct w:val="0"/>
        <w:bidi w:val="0"/>
        <w:spacing w:line="560" w:lineRule="exact"/>
        <w:ind w:firstLine="5440" w:firstLineChars="1700"/>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注：请认真核对报价函、报价表、价格构成表内金额的一致性及签章的合规性。</w:t>
      </w:r>
    </w:p>
    <w:p>
      <w:pPr>
        <w:keepNext w:val="0"/>
        <w:keepLines w:val="0"/>
        <w:pageBreakBefore w:val="0"/>
        <w:widowControl/>
        <w:wordWrap/>
        <w:overflowPunct/>
        <w:topLinePunct w:val="0"/>
        <w:bidi w:val="0"/>
        <w:spacing w:line="560" w:lineRule="exact"/>
        <w:jc w:val="left"/>
        <w:rPr>
          <w:rFonts w:hint="default" w:ascii="仿宋_GB2312" w:hAnsi="仿宋_GB2312" w:eastAsia="仿宋_GB2312" w:cs="仿宋_GB2312"/>
          <w:sz w:val="32"/>
          <w:szCs w:val="32"/>
          <w:highlight w:val="none"/>
          <w:lang w:val="en-US" w:eastAsia="zh-CN"/>
        </w:rPr>
      </w:pPr>
      <w:r>
        <w:rPr>
          <w:rFonts w:ascii="仿宋_GB2312" w:hAnsi="仿宋_GB2312" w:eastAsia="仿宋_GB2312" w:cs="仿宋_GB2312"/>
          <w:sz w:val="32"/>
          <w:szCs w:val="32"/>
          <w:highlight w:val="none"/>
        </w:rPr>
        <w:br w:type="page"/>
      </w:r>
    </w:p>
    <w:p>
      <w:pPr>
        <w:keepNext w:val="0"/>
        <w:keepLines w:val="0"/>
        <w:pageBreakBefore w:val="0"/>
        <w:numPr>
          <w:ilvl w:val="0"/>
          <w:numId w:val="0"/>
        </w:numPr>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lang w:val="en-US" w:eastAsia="zh-CN"/>
        </w:rPr>
        <w:t>（一）价格构成表</w:t>
      </w:r>
      <w:r>
        <w:rPr>
          <w:rFonts w:hint="eastAsia" w:ascii="楷体_GB2312" w:hAnsi="楷体_GB2312" w:eastAsia="楷体_GB2312" w:cs="楷体_GB2312"/>
          <w:b/>
          <w:bCs/>
          <w:sz w:val="32"/>
          <w:szCs w:val="32"/>
          <w:highlight w:val="none"/>
        </w:rPr>
        <w:t>（格式）</w:t>
      </w:r>
    </w:p>
    <w:tbl>
      <w:tblPr>
        <w:tblStyle w:val="7"/>
        <w:tblW w:w="5287" w:type="pct"/>
        <w:tblInd w:w="0" w:type="dxa"/>
        <w:tblLayout w:type="autofit"/>
        <w:tblCellMar>
          <w:top w:w="0" w:type="dxa"/>
          <w:left w:w="108" w:type="dxa"/>
          <w:bottom w:w="0" w:type="dxa"/>
          <w:right w:w="108" w:type="dxa"/>
        </w:tblCellMar>
      </w:tblPr>
      <w:tblGrid>
        <w:gridCol w:w="818"/>
        <w:gridCol w:w="2670"/>
        <w:gridCol w:w="714"/>
        <w:gridCol w:w="765"/>
        <w:gridCol w:w="2200"/>
        <w:gridCol w:w="2295"/>
      </w:tblGrid>
      <w:tr>
        <w:tblPrEx>
          <w:tblCellMar>
            <w:top w:w="0" w:type="dxa"/>
            <w:left w:w="108" w:type="dxa"/>
            <w:bottom w:w="0" w:type="dxa"/>
            <w:right w:w="108" w:type="dxa"/>
          </w:tblCellMar>
        </w:tblPrEx>
        <w:trPr>
          <w:cantSplit/>
          <w:trHeight w:val="385"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序号</w:t>
            </w:r>
          </w:p>
        </w:tc>
        <w:tc>
          <w:tcPr>
            <w:tcW w:w="141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报价项目名称</w:t>
            </w: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单位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数量</w:t>
            </w: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含税金额（元）</w:t>
            </w:r>
          </w:p>
        </w:tc>
        <w:tc>
          <w:tcPr>
            <w:tcW w:w="12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备注</w:t>
            </w:r>
          </w:p>
        </w:tc>
      </w:tr>
      <w:tr>
        <w:tblPrEx>
          <w:tblCellMar>
            <w:top w:w="0" w:type="dxa"/>
            <w:left w:w="108" w:type="dxa"/>
            <w:bottom w:w="0" w:type="dxa"/>
            <w:right w:w="108" w:type="dxa"/>
          </w:tblCellMar>
        </w:tblPrEx>
        <w:trPr>
          <w:cantSplit/>
          <w:trHeight w:val="443" w:hRule="exac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141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eastAsia="宋体"/>
              </w:rPr>
            </w:pPr>
            <w:r>
              <w:rPr>
                <w:rFonts w:hint="eastAsia" w:ascii="Times New Roman" w:hAnsi="Times New Roman" w:eastAsia="宋体" w:cs="宋体"/>
                <w:kern w:val="0"/>
                <w:lang w:val="en-US" w:eastAsia="zh-CN" w:bidi="ar"/>
              </w:rPr>
              <w:t>构成</w:t>
            </w:r>
            <w:r>
              <w:rPr>
                <w:rFonts w:hint="eastAsia" w:ascii="Times New Roman" w:hAnsi="Times New Roman" w:eastAsia="宋体" w:cs="宋体"/>
                <w:kern w:val="0"/>
                <w:lang w:bidi="ar"/>
              </w:rPr>
              <w:t>设备</w:t>
            </w:r>
            <w:r>
              <w:rPr>
                <w:rFonts w:hint="eastAsia" w:ascii="Times New Roman" w:hAnsi="Times New Roman" w:eastAsia="宋体" w:cs="宋体"/>
                <w:kern w:val="0"/>
                <w:lang w:val="en-US" w:eastAsia="zh-CN" w:bidi="ar"/>
              </w:rPr>
              <w:t>价格</w:t>
            </w:r>
            <w:r>
              <w:rPr>
                <w:rFonts w:hint="eastAsia" w:ascii="Times New Roman" w:hAnsi="Times New Roman" w:eastAsia="宋体" w:cs="宋体"/>
                <w:kern w:val="0"/>
                <w:lang w:bidi="ar"/>
              </w:rPr>
              <w:t>及其它费用</w:t>
            </w: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12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r>
    </w:tbl>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1.本表分项填写</w:t>
      </w:r>
      <w:r>
        <w:rPr>
          <w:rFonts w:hint="eastAsia" w:ascii="仿宋_GB2312" w:hAnsi="仿宋_GB2312" w:eastAsia="仿宋_GB2312" w:cs="仿宋_GB2312"/>
          <w:sz w:val="32"/>
          <w:szCs w:val="32"/>
          <w:lang w:val="en-US" w:eastAsia="zh-CN"/>
        </w:rPr>
        <w:t>构成</w:t>
      </w:r>
      <w:r>
        <w:rPr>
          <w:rFonts w:hint="eastAsia" w:ascii="仿宋_GB2312" w:hAnsi="仿宋_GB2312" w:eastAsia="仿宋_GB2312" w:cs="仿宋_GB2312"/>
          <w:sz w:val="32"/>
          <w:szCs w:val="32"/>
        </w:rPr>
        <w:t>设备</w:t>
      </w:r>
      <w:r>
        <w:rPr>
          <w:rFonts w:hint="eastAsia" w:ascii="仿宋_GB2312" w:hAnsi="仿宋_GB2312" w:eastAsia="仿宋_GB2312" w:cs="仿宋_GB2312"/>
          <w:sz w:val="32"/>
          <w:szCs w:val="32"/>
          <w:lang w:val="en-US" w:eastAsia="zh-CN"/>
        </w:rPr>
        <w:t>价格</w:t>
      </w:r>
      <w:r>
        <w:rPr>
          <w:rFonts w:hint="eastAsia" w:ascii="仿宋_GB2312" w:hAnsi="仿宋_GB2312" w:eastAsia="仿宋_GB2312" w:cs="仿宋_GB2312"/>
          <w:sz w:val="32"/>
          <w:szCs w:val="32"/>
        </w:rPr>
        <w:t>及其他各种费用。</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本次采购要求报设备价格构成表，所有</w:t>
      </w:r>
      <w:r>
        <w:rPr>
          <w:rFonts w:hint="eastAsia" w:ascii="仿宋_GB2312" w:hAnsi="仿宋_GB2312" w:eastAsia="仿宋_GB2312" w:cs="仿宋_GB2312"/>
          <w:sz w:val="32"/>
          <w:szCs w:val="32"/>
          <w:lang w:val="en-US" w:eastAsia="zh-CN"/>
        </w:rPr>
        <w:t>构成</w:t>
      </w:r>
      <w:r>
        <w:rPr>
          <w:rFonts w:hint="eastAsia" w:ascii="仿宋_GB2312" w:hAnsi="仿宋_GB2312" w:eastAsia="仿宋_GB2312" w:cs="仿宋_GB2312"/>
          <w:sz w:val="32"/>
          <w:szCs w:val="32"/>
        </w:rPr>
        <w:t>设备</w:t>
      </w:r>
      <w:r>
        <w:rPr>
          <w:rFonts w:hint="eastAsia" w:ascii="仿宋_GB2312" w:hAnsi="仿宋_GB2312" w:eastAsia="仿宋_GB2312" w:cs="仿宋_GB2312"/>
          <w:sz w:val="32"/>
          <w:szCs w:val="32"/>
          <w:lang w:val="en-US" w:eastAsia="zh-CN"/>
        </w:rPr>
        <w:t>价格</w:t>
      </w:r>
      <w:r>
        <w:rPr>
          <w:rFonts w:hint="eastAsia" w:ascii="仿宋_GB2312" w:hAnsi="仿宋_GB2312" w:eastAsia="仿宋_GB2312" w:cs="仿宋_GB2312"/>
          <w:sz w:val="32"/>
          <w:szCs w:val="32"/>
        </w:rPr>
        <w:t>及其他各种费用总和不得超过</w:t>
      </w:r>
      <w:r>
        <w:rPr>
          <w:rFonts w:hint="eastAsia" w:ascii="仿宋_GB2312" w:hAnsi="仿宋_GB2312" w:eastAsia="仿宋_GB2312" w:cs="仿宋_GB2312"/>
          <w:sz w:val="32"/>
          <w:szCs w:val="32"/>
          <w:lang w:val="en-US" w:eastAsia="zh-CN"/>
        </w:rPr>
        <w:t>整套</w:t>
      </w:r>
      <w:r>
        <w:rPr>
          <w:rFonts w:hint="eastAsia" w:ascii="仿宋_GB2312" w:hAnsi="仿宋_GB2312" w:eastAsia="仿宋_GB2312" w:cs="仿宋_GB2312"/>
          <w:sz w:val="32"/>
          <w:szCs w:val="32"/>
        </w:rPr>
        <w:t>主机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系统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价格，并承诺所报</w:t>
      </w:r>
      <w:r>
        <w:rPr>
          <w:rFonts w:hint="eastAsia" w:ascii="仿宋_GB2312" w:hAnsi="仿宋_GB2312" w:eastAsia="仿宋_GB2312" w:cs="仿宋_GB2312"/>
          <w:sz w:val="32"/>
          <w:szCs w:val="32"/>
          <w:lang w:val="en-US" w:eastAsia="zh-CN"/>
        </w:rPr>
        <w:t>构成表</w:t>
      </w:r>
      <w:r>
        <w:rPr>
          <w:rFonts w:hint="eastAsia" w:ascii="仿宋_GB2312" w:hAnsi="仿宋_GB2312" w:eastAsia="仿宋_GB2312" w:cs="仿宋_GB2312"/>
          <w:sz w:val="32"/>
          <w:szCs w:val="32"/>
        </w:rPr>
        <w:t>单价为最高限价。</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.本表“含税金额”如与报价函不一致，以报价函为准。</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谈判小组有权在报价总价不变的前提下，对响应供应商的不平衡报价进行调整。</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.设备构成表格不符要求或明显不合理的，谈判小组有权否决响应报价</w:t>
      </w:r>
      <w:r>
        <w:rPr>
          <w:rFonts w:hint="eastAsia" w:ascii="仿宋_GB2312" w:hAnsi="仿宋_GB2312" w:eastAsia="仿宋_GB2312" w:cs="仿宋_GB2312"/>
          <w:sz w:val="32"/>
          <w:szCs w:val="32"/>
          <w:lang w:eastAsia="zh-CN"/>
        </w:rPr>
        <w:t>。</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lang w:eastAsia="zh-CN"/>
        </w:rPr>
      </w:pPr>
    </w:p>
    <w:p>
      <w:pPr>
        <w:keepNext w:val="0"/>
        <w:keepLines w:val="0"/>
        <w:pageBreakBefore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二</w:t>
      </w:r>
      <w:r>
        <w:rPr>
          <w:rFonts w:hint="eastAsia" w:ascii="楷体_GB2312" w:hAnsi="楷体_GB2312" w:eastAsia="楷体_GB2312" w:cs="楷体_GB2312"/>
          <w:b/>
          <w:bCs/>
          <w:sz w:val="32"/>
          <w:szCs w:val="32"/>
          <w:highlight w:val="none"/>
        </w:rPr>
        <w:t>）技术偏差表（格式）</w:t>
      </w:r>
    </w:p>
    <w:tbl>
      <w:tblPr>
        <w:tblStyle w:val="7"/>
        <w:tblW w:w="0" w:type="auto"/>
        <w:tblInd w:w="0" w:type="dxa"/>
        <w:tblLayout w:type="fixed"/>
        <w:tblCellMar>
          <w:top w:w="0" w:type="dxa"/>
          <w:left w:w="108" w:type="dxa"/>
          <w:bottom w:w="0" w:type="dxa"/>
          <w:right w:w="108" w:type="dxa"/>
        </w:tblCellMar>
      </w:tblPr>
      <w:tblGrid>
        <w:gridCol w:w="913"/>
        <w:gridCol w:w="1974"/>
        <w:gridCol w:w="990"/>
        <w:gridCol w:w="2366"/>
        <w:gridCol w:w="2184"/>
        <w:gridCol w:w="1024"/>
      </w:tblGrid>
      <w:tr>
        <w:tblPrEx>
          <w:tblCellMar>
            <w:top w:w="0" w:type="dxa"/>
            <w:left w:w="108" w:type="dxa"/>
            <w:bottom w:w="0" w:type="dxa"/>
            <w:right w:w="108" w:type="dxa"/>
          </w:tblCellMar>
        </w:tblPrEx>
        <w:trPr>
          <w:trHeight w:val="416" w:hRule="atLeast"/>
        </w:trPr>
        <w:tc>
          <w:tcPr>
            <w:tcW w:w="91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3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18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80" w:line="360" w:lineRule="auto"/>
        <w:ind w:firstLine="643" w:firstLineChars="200"/>
        <w:rPr>
          <w:rFonts w:hint="eastAsia" w:ascii="宋体" w:hAnsi="宋体" w:cs="宋体"/>
          <w:b/>
          <w:kern w:val="1"/>
          <w:sz w:val="24"/>
          <w:highlight w:val="none"/>
        </w:rPr>
      </w:pPr>
      <w:r>
        <w:rPr>
          <w:rFonts w:hint="eastAsia" w:ascii="楷体_GB2312" w:hAnsi="楷体_GB2312" w:eastAsia="楷体_GB2312" w:cs="楷体_GB2312"/>
          <w:b/>
          <w:bCs w:val="0"/>
          <w:kern w:val="1"/>
          <w:sz w:val="32"/>
          <w:szCs w:val="32"/>
          <w:highlight w:val="none"/>
        </w:rPr>
        <w:t>（</w:t>
      </w:r>
      <w:r>
        <w:rPr>
          <w:rFonts w:hint="eastAsia" w:ascii="楷体_GB2312" w:hAnsi="楷体_GB2312" w:eastAsia="楷体_GB2312" w:cs="楷体_GB2312"/>
          <w:b/>
          <w:bCs w:val="0"/>
          <w:kern w:val="1"/>
          <w:sz w:val="32"/>
          <w:szCs w:val="32"/>
          <w:highlight w:val="none"/>
          <w:lang w:val="en-US" w:eastAsia="zh-CN"/>
        </w:rPr>
        <w:t>三</w:t>
      </w:r>
      <w:r>
        <w:rPr>
          <w:rFonts w:hint="eastAsia" w:ascii="楷体_GB2312" w:hAnsi="楷体_GB2312" w:eastAsia="楷体_GB2312" w:cs="楷体_GB2312"/>
          <w:b/>
          <w:bCs w:val="0"/>
          <w:kern w:val="1"/>
          <w:sz w:val="32"/>
          <w:szCs w:val="32"/>
          <w:highlight w:val="none"/>
        </w:rPr>
        <w:t>）商务偏差表（格式）</w:t>
      </w:r>
    </w:p>
    <w:tbl>
      <w:tblPr>
        <w:tblStyle w:val="7"/>
        <w:tblW w:w="0" w:type="auto"/>
        <w:tblInd w:w="0" w:type="dxa"/>
        <w:tblLayout w:type="fixed"/>
        <w:tblCellMar>
          <w:top w:w="0" w:type="dxa"/>
          <w:left w:w="108" w:type="dxa"/>
          <w:bottom w:w="0" w:type="dxa"/>
          <w:right w:w="108" w:type="dxa"/>
        </w:tblCellMar>
      </w:tblPr>
      <w:tblGrid>
        <w:gridCol w:w="925"/>
        <w:gridCol w:w="1997"/>
        <w:gridCol w:w="3092"/>
        <w:gridCol w:w="2471"/>
        <w:gridCol w:w="966"/>
      </w:tblGrid>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9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四</w:t>
      </w: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响应供应商</w:t>
      </w:r>
      <w:r>
        <w:rPr>
          <w:rFonts w:hint="eastAsia" w:ascii="楷体_GB2312" w:hAnsi="楷体_GB2312" w:eastAsia="楷体_GB2312" w:cs="楷体_GB2312"/>
          <w:b/>
          <w:kern w:val="1"/>
          <w:sz w:val="32"/>
          <w:szCs w:val="32"/>
          <w:highlight w:val="none"/>
        </w:rPr>
        <w:t>主要加工和检测设备（格式）</w:t>
      </w:r>
    </w:p>
    <w:tbl>
      <w:tblPr>
        <w:tblStyle w:val="7"/>
        <w:tblW w:w="0" w:type="auto"/>
        <w:tblInd w:w="0" w:type="dxa"/>
        <w:tblLayout w:type="fixed"/>
        <w:tblCellMar>
          <w:top w:w="0" w:type="dxa"/>
          <w:left w:w="108" w:type="dxa"/>
          <w:bottom w:w="0" w:type="dxa"/>
          <w:right w:w="108" w:type="dxa"/>
        </w:tblCellMar>
      </w:tblPr>
      <w:tblGrid>
        <w:gridCol w:w="758"/>
        <w:gridCol w:w="1346"/>
        <w:gridCol w:w="1483"/>
        <w:gridCol w:w="809"/>
        <w:gridCol w:w="809"/>
        <w:gridCol w:w="2057"/>
        <w:gridCol w:w="2204"/>
      </w:tblGrid>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设备名称</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规格型号</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单位</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生产厂家</w:t>
            </w: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生产日期</w:t>
            </w: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五</w:t>
      </w:r>
      <w:r>
        <w:rPr>
          <w:rFonts w:hint="eastAsia" w:ascii="楷体_GB2312" w:hAnsi="楷体_GB2312" w:eastAsia="楷体_GB2312" w:cs="楷体_GB2312"/>
          <w:b/>
          <w:kern w:val="1"/>
          <w:sz w:val="32"/>
          <w:szCs w:val="32"/>
          <w:highlight w:val="none"/>
        </w:rPr>
        <w:t>）销售业绩汇总表（格式）</w:t>
      </w:r>
    </w:p>
    <w:tbl>
      <w:tblPr>
        <w:tblStyle w:val="7"/>
        <w:tblW w:w="0" w:type="auto"/>
        <w:tblInd w:w="-11" w:type="dxa"/>
        <w:tblLayout w:type="fixed"/>
        <w:tblCellMar>
          <w:top w:w="0" w:type="dxa"/>
          <w:left w:w="108" w:type="dxa"/>
          <w:bottom w:w="0" w:type="dxa"/>
          <w:right w:w="108" w:type="dxa"/>
        </w:tblCellMar>
      </w:tblPr>
      <w:tblGrid>
        <w:gridCol w:w="827"/>
        <w:gridCol w:w="1288"/>
        <w:gridCol w:w="1245"/>
        <w:gridCol w:w="1260"/>
        <w:gridCol w:w="1059"/>
        <w:gridCol w:w="1101"/>
        <w:gridCol w:w="3015"/>
      </w:tblGrid>
      <w:tr>
        <w:tblPrEx>
          <w:tblCellMar>
            <w:top w:w="0" w:type="dxa"/>
            <w:left w:w="108" w:type="dxa"/>
            <w:bottom w:w="0" w:type="dxa"/>
            <w:right w:w="108" w:type="dxa"/>
          </w:tblCellMar>
        </w:tblPrEx>
        <w:trPr>
          <w:trHeight w:val="485" w:hRule="atLeast"/>
        </w:trPr>
        <w:tc>
          <w:tcPr>
            <w:tcW w:w="9795" w:type="dxa"/>
            <w:gridSpan w:val="7"/>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销售业绩汇总表</w:t>
            </w:r>
          </w:p>
        </w:tc>
      </w:tr>
      <w:tr>
        <w:tblPrEx>
          <w:tblCellMar>
            <w:top w:w="0" w:type="dxa"/>
            <w:left w:w="108" w:type="dxa"/>
            <w:bottom w:w="0" w:type="dxa"/>
            <w:right w:w="108" w:type="dxa"/>
          </w:tblCellMar>
        </w:tblPrEx>
        <w:trPr>
          <w:trHeight w:val="10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序号</w:t>
            </w:r>
          </w:p>
        </w:tc>
        <w:tc>
          <w:tcPr>
            <w:tcW w:w="1288"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合同编号</w:t>
            </w:r>
          </w:p>
        </w:tc>
        <w:tc>
          <w:tcPr>
            <w:tcW w:w="124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合同金额</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物资名称及规格</w:t>
            </w:r>
          </w:p>
        </w:tc>
        <w:tc>
          <w:tcPr>
            <w:tcW w:w="105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发票编号</w:t>
            </w:r>
          </w:p>
        </w:tc>
        <w:tc>
          <w:tcPr>
            <w:tcW w:w="110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发票金额</w:t>
            </w:r>
          </w:p>
        </w:tc>
        <w:tc>
          <w:tcPr>
            <w:tcW w:w="301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有效业绩金额（按照业绩要求据实填写）</w:t>
            </w:r>
          </w:p>
        </w:tc>
      </w:tr>
      <w:tr>
        <w:tblPrEx>
          <w:tblCellMar>
            <w:top w:w="0" w:type="dxa"/>
            <w:left w:w="108" w:type="dxa"/>
            <w:bottom w:w="0" w:type="dxa"/>
            <w:right w:w="108" w:type="dxa"/>
          </w:tblCellMar>
        </w:tblPrEx>
        <w:trPr>
          <w:trHeight w:val="5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7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1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2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65" w:hRule="atLeast"/>
        </w:trPr>
        <w:tc>
          <w:tcPr>
            <w:tcW w:w="6780" w:type="dxa"/>
            <w:gridSpan w:val="6"/>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color w:val="auto"/>
                <w:kern w:val="1"/>
                <w:szCs w:val="21"/>
                <w:highlight w:val="none"/>
              </w:rPr>
            </w:pPr>
            <w:r>
              <w:rPr>
                <w:rFonts w:hint="eastAsia" w:ascii="宋体" w:hAnsi="宋体" w:cs="宋体"/>
                <w:color w:val="auto"/>
                <w:kern w:val="1"/>
                <w:szCs w:val="21"/>
                <w:highlight w:val="none"/>
              </w:rPr>
              <w:t>合计（必填）</w:t>
            </w:r>
          </w:p>
        </w:tc>
      </w:tr>
    </w:tbl>
    <w:p>
      <w:pPr>
        <w:keepNext w:val="0"/>
        <w:keepLines w:val="0"/>
        <w:pageBreakBefore w:val="0"/>
        <w:wordWrap/>
        <w:overflowPunct/>
        <w:topLinePunct w:val="0"/>
        <w:bidi w:val="0"/>
        <w:spacing w:line="560" w:lineRule="exact"/>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以上价格均为含税报价</w:t>
      </w: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keepNext w:val="0"/>
        <w:keepLines w:val="0"/>
        <w:pageBreakBefore w:val="0"/>
        <w:wordWrap/>
        <w:overflowPunct/>
        <w:topLinePunct w:val="0"/>
        <w:bidi w:val="0"/>
        <w:spacing w:line="560" w:lineRule="exact"/>
        <w:ind w:firstLine="643" w:firstLineChars="200"/>
        <w:rPr>
          <w:rFonts w:ascii="仿宋_GB2312" w:hAnsi="仿宋_GB2312" w:eastAsia="仿宋_GB2312" w:cs="仿宋_GB2312"/>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六</w:t>
      </w:r>
      <w:r>
        <w:rPr>
          <w:rFonts w:hint="eastAsia" w:ascii="楷体_GB2312" w:hAnsi="楷体_GB2312" w:eastAsia="楷体_GB2312" w:cs="楷体_GB2312"/>
          <w:b/>
          <w:bCs/>
          <w:sz w:val="32"/>
          <w:szCs w:val="32"/>
          <w:highlight w:val="none"/>
        </w:rPr>
        <w:t>）法人代表授权委托书格式</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法人代表授权委托书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人（姓名）系（响应供应商名称）的法定代表人（单位负责人），现委托（姓名）为我方代理人。代理人根据授权，以我方名义签署、澄清确认、递交、撤回、修改本次采购项目响应文件、签订合同和处理有关事宜，其法律后果由我方承担。</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委托期限：</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代理人无转委托权。</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附：法定代表人（单位负责人）身份证复印件及委托代理人身份证复印件</w:t>
      </w:r>
    </w:p>
    <w:p>
      <w:pPr>
        <w:keepNext w:val="0"/>
        <w:keepLines w:val="0"/>
        <w:pageBreakBefore w:val="0"/>
        <w:wordWrap/>
        <w:overflowPunct/>
        <w:topLinePunct w:val="0"/>
        <w:bidi w:val="0"/>
        <w:spacing w:line="560" w:lineRule="exact"/>
        <w:ind w:firstLine="643" w:firstLineChars="200"/>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注：本授权委托书由响应供应商加盖单位公章并由其法定代表人（单位负责人）和委托代理人签字，否则按否决处理。</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响应供应商：（单位公章）</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委托代理人：（签字）</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联系方式（手机号）：</w:t>
      </w:r>
    </w:p>
    <w:p>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年月日</w:t>
      </w:r>
    </w:p>
    <w:p>
      <w:pPr>
        <w:keepNext w:val="0"/>
        <w:keepLines w:val="0"/>
        <w:pageBreakBefore w:val="0"/>
        <w:widowControl/>
        <w:wordWrap/>
        <w:overflowPunct/>
        <w:topLinePunct w:val="0"/>
        <w:bidi w:val="0"/>
        <w:spacing w:line="560" w:lineRule="exact"/>
        <w:jc w:val="left"/>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第四章采购内容及技术要求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一、采购数量</w:t>
      </w:r>
    </w:p>
    <w:p>
      <w:pPr>
        <w:keepNext w:val="0"/>
        <w:keepLines w:val="0"/>
        <w:pageBreakBefore w:val="0"/>
        <w:wordWrap/>
        <w:overflowPunct/>
        <w:topLinePunct w:val="0"/>
        <w:bidi w:val="0"/>
        <w:spacing w:line="560" w:lineRule="exact"/>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KJ293(A)型矿用轨道运输监控系统</w:t>
      </w:r>
      <w:r>
        <w:rPr>
          <w:rFonts w:hint="eastAsia" w:ascii="仿宋_GB2312" w:hAnsi="仿宋_GB2312" w:eastAsia="仿宋_GB2312" w:cs="仿宋_GB2312"/>
          <w:sz w:val="32"/>
          <w:szCs w:val="32"/>
          <w:highlight w:val="none"/>
          <w:lang w:val="en-US" w:eastAsia="zh-CN"/>
        </w:rPr>
        <w:t>1套</w:t>
      </w: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二、主要技术要求及参数</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主要技术要求及参数，详见技术规格书。</w:t>
      </w:r>
    </w:p>
    <w:p>
      <w:pPr>
        <w:pStyle w:val="2"/>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三、其他</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文件未提到的部分，必须满足国家或行业标准、强制认证要求。</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（二）报价明细必须合理且成序列，如果偏离市场或报价物资明细覆盖面未达到100%，评标委员会将否决其</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资格。</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文件必须实质性响应技术规格书要求。不得简单复制</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文件内容，必须对技术指标进行详细描述。</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所列货物规格型号、品牌仅供参考，</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货物是否响应</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文件要求以是否满足技术要求为判断依据。如果必须引用某一供应者的技术规格才能准确或清楚的说明拟</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货物的技术规格时，均指参照或相当于。</w:t>
      </w:r>
    </w:p>
    <w:p>
      <w:pPr>
        <w:rPr>
          <w:rFonts w:hint="eastAsia" w:ascii="仿宋_GB2312" w:hAnsi="仿宋_GB2312" w:eastAsia="仿宋_GB2312" w:cs="仿宋_GB2312"/>
          <w:sz w:val="32"/>
          <w:szCs w:val="32"/>
          <w:highlight w:val="none"/>
        </w:rPr>
      </w:pPr>
    </w:p>
    <w:p>
      <w:pPr>
        <w:pStyle w:val="2"/>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pStyle w:val="2"/>
        <w:rPr>
          <w:highlight w:val="none"/>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第五章合同的主要条款及要求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一、货款支付</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1.付款方式：货到验收合格，发票入账次月起第3个月支付30%，第11个月支付60%，一年内无质量异议，第13个月支付10%质保金，一年内有质量问题未能解决,质保金不予支付。付款方式为承兑汇票。</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val="en-US" w:eastAsia="zh-CN"/>
        </w:rPr>
        <w:t>二、合同签订</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自成交公告发布之日起30日内完成签订技术协议及合同签订。</w:t>
      </w:r>
    </w:p>
    <w:p>
      <w:pPr>
        <w:keepNext w:val="0"/>
        <w:keepLines w:val="0"/>
        <w:pageBreakBefore w:val="0"/>
        <w:wordWrap/>
        <w:overflowPunct/>
        <w:topLinePunct w:val="0"/>
        <w:bidi w:val="0"/>
        <w:spacing w:line="560" w:lineRule="exact"/>
        <w:ind w:firstLine="640" w:firstLineChars="200"/>
        <w:jc w:val="both"/>
        <w:rPr>
          <w:rFonts w:hint="eastAsia" w:ascii="黑体" w:hAnsi="黑体" w:eastAsia="黑体" w:cs="黑体"/>
          <w:b w:val="0"/>
          <w:bCs w:val="0"/>
          <w:sz w:val="32"/>
          <w:szCs w:val="32"/>
          <w:highlight w:val="none"/>
        </w:rPr>
      </w:pPr>
      <w:r>
        <w:rPr>
          <w:rFonts w:hint="eastAsia" w:ascii="黑体" w:hAnsi="黑体" w:eastAsia="黑体" w:cs="黑体"/>
          <w:sz w:val="32"/>
          <w:szCs w:val="32"/>
          <w:highlight w:val="none"/>
        </w:rPr>
        <w:t>三、</w:t>
      </w:r>
      <w:r>
        <w:rPr>
          <w:rFonts w:hint="eastAsia" w:ascii="黑体" w:hAnsi="黑体" w:eastAsia="黑体" w:cs="黑体"/>
          <w:b w:val="0"/>
          <w:bCs w:val="0"/>
          <w:sz w:val="32"/>
          <w:szCs w:val="32"/>
          <w:highlight w:val="none"/>
        </w:rPr>
        <w:t>包装、运输</w:t>
      </w:r>
      <w:r>
        <w:rPr>
          <w:rFonts w:hint="eastAsia" w:ascii="黑体" w:hAnsi="黑体" w:eastAsia="黑体" w:cs="黑体"/>
          <w:b w:val="0"/>
          <w:bCs w:val="0"/>
          <w:sz w:val="32"/>
          <w:szCs w:val="32"/>
          <w:highlight w:val="none"/>
          <w:lang w:eastAsia="zh-CN"/>
        </w:rPr>
        <w:t>、</w:t>
      </w:r>
      <w:r>
        <w:rPr>
          <w:rFonts w:hint="eastAsia" w:ascii="黑体" w:hAnsi="黑体" w:eastAsia="黑体" w:cs="黑体"/>
          <w:b w:val="0"/>
          <w:bCs w:val="0"/>
          <w:sz w:val="32"/>
          <w:szCs w:val="32"/>
          <w:highlight w:val="none"/>
        </w:rPr>
        <w:t>储存</w:t>
      </w:r>
      <w:r>
        <w:rPr>
          <w:rFonts w:hint="eastAsia" w:ascii="黑体" w:hAnsi="黑体" w:eastAsia="黑体" w:cs="黑体"/>
          <w:color w:val="auto"/>
          <w:sz w:val="32"/>
          <w:szCs w:val="32"/>
          <w:highlight w:val="none"/>
        </w:rPr>
        <w:t>及验收</w:t>
      </w:r>
    </w:p>
    <w:p>
      <w:pPr>
        <w:keepNext w:val="0"/>
        <w:keepLines w:val="0"/>
        <w:pageBreakBefore w:val="0"/>
        <w:wordWrap/>
        <w:overflowPunct/>
        <w:topLinePunct w:val="0"/>
        <w:bidi w:val="0"/>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详见技术规格书。</w:t>
      </w:r>
    </w:p>
    <w:p>
      <w:pPr>
        <w:keepNext w:val="0"/>
        <w:keepLines w:val="0"/>
        <w:pageBreakBefore w:val="0"/>
        <w:wordWrap/>
        <w:overflowPunct/>
        <w:topLinePunct w:val="0"/>
        <w:bidi w:val="0"/>
        <w:spacing w:line="560" w:lineRule="exact"/>
        <w:ind w:firstLine="640" w:firstLineChars="200"/>
        <w:jc w:val="both"/>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lang w:val="en-US" w:eastAsia="zh-CN"/>
        </w:rPr>
        <w:t>四</w:t>
      </w:r>
      <w:r>
        <w:rPr>
          <w:rFonts w:hint="eastAsia" w:ascii="黑体" w:hAnsi="黑体" w:eastAsia="黑体" w:cs="黑体"/>
          <w:b w:val="0"/>
          <w:bCs w:val="0"/>
          <w:sz w:val="32"/>
          <w:szCs w:val="32"/>
          <w:highlight w:val="none"/>
        </w:rPr>
        <w:t>、售后服务</w:t>
      </w:r>
    </w:p>
    <w:p>
      <w:pPr>
        <w:ind w:firstLine="640" w:firstLineChars="200"/>
        <w:rPr>
          <w:rFonts w:hint="default" w:ascii="仿宋_GB2312" w:eastAsia="仿宋_GB2312"/>
          <w:sz w:val="32"/>
          <w:szCs w:val="32"/>
          <w:highlight w:val="none"/>
          <w:lang w:val="en-US" w:eastAsia="zh-CN"/>
        </w:rPr>
      </w:pPr>
      <w:r>
        <w:rPr>
          <w:rFonts w:hint="eastAsia" w:ascii="仿宋_GB2312" w:hAnsi="仿宋_GB2312" w:eastAsia="仿宋_GB2312" w:cs="仿宋_GB2312"/>
          <w:color w:val="auto"/>
          <w:sz w:val="32"/>
          <w:szCs w:val="32"/>
          <w:highlight w:val="none"/>
        </w:rPr>
        <w:t>除国家另有专门规定、</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文件有特殊要求或</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有优惠条件外，按GB/T16784-2025工业产品售后服务总则执行，</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个月内实行质量“三包”。质保期内若出现质量问题，</w:t>
      </w:r>
      <w:r>
        <w:rPr>
          <w:rFonts w:hint="eastAsia" w:ascii="仿宋_GB2312" w:hAnsi="仿宋_GB2312" w:eastAsia="仿宋_GB2312" w:cs="仿宋_GB2312"/>
          <w:color w:val="auto"/>
          <w:sz w:val="32"/>
          <w:szCs w:val="32"/>
          <w:highlight w:val="none"/>
          <w:lang w:val="en-US" w:eastAsia="zh-CN"/>
        </w:rPr>
        <w:t>成交供应商</w:t>
      </w:r>
      <w:r>
        <w:rPr>
          <w:rFonts w:hint="eastAsia" w:ascii="仿宋_GB2312" w:hAnsi="仿宋_GB2312" w:eastAsia="仿宋_GB2312" w:cs="仿宋_GB2312"/>
          <w:color w:val="auto"/>
          <w:sz w:val="32"/>
          <w:szCs w:val="32"/>
          <w:highlight w:val="none"/>
        </w:rPr>
        <w:t>应在接到通知后的24小时内到达现场处理并提供解决方案。</w:t>
      </w:r>
    </w:p>
    <w:p>
      <w:pPr>
        <w:keepNext w:val="0"/>
        <w:keepLines w:val="0"/>
        <w:pageBreakBefore w:val="0"/>
        <w:wordWrap/>
        <w:overflowPunct/>
        <w:topLinePunct w:val="0"/>
        <w:bidi w:val="0"/>
        <w:spacing w:line="560" w:lineRule="exact"/>
        <w:ind w:firstLine="640" w:firstLineChars="200"/>
        <w:jc w:val="both"/>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lang w:val="en-US" w:eastAsia="zh-CN"/>
        </w:rPr>
        <w:t>五</w:t>
      </w:r>
      <w:r>
        <w:rPr>
          <w:rFonts w:hint="eastAsia" w:ascii="黑体" w:hAnsi="黑体" w:eastAsia="黑体" w:cs="黑体"/>
          <w:b w:val="0"/>
          <w:bCs w:val="0"/>
          <w:sz w:val="32"/>
          <w:szCs w:val="32"/>
          <w:highlight w:val="none"/>
        </w:rPr>
        <w:t>、违约责任及解决办法</w:t>
      </w:r>
    </w:p>
    <w:p>
      <w:pPr>
        <w:keepNext w:val="0"/>
        <w:keepLines w:val="0"/>
        <w:pageBreakBefore w:val="0"/>
        <w:wordWrap/>
        <w:overflowPunct/>
        <w:topLinePunct w:val="0"/>
        <w:bidi w:val="0"/>
        <w:spacing w:line="560" w:lineRule="exact"/>
        <w:ind w:firstLine="640" w:firstLineChars="200"/>
        <w:jc w:val="both"/>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响应供应商同意遵守《物资采购廉洁合同》约定事项和《物资分公司供应商管理办法》规定事项，并已了解完全知晓相关规定，出卖人因违反前述管理办法被停用、禁用时，买受人有权单方解除本合同，自解除合同通知送达出卖人时解除，发生其他违反约定和违规行为的，均按照《物资采购廉洁合同》约定和《物资分公司供应商管理办法》规定进行处理。</w:t>
      </w:r>
    </w:p>
    <w:p>
      <w:pPr>
        <w:pStyle w:val="2"/>
        <w:rPr>
          <w:rFonts w:hint="eastAsia" w:ascii="仿宋_GB2312" w:hAnsi="仿宋_GB2312" w:eastAsia="仿宋_GB2312" w:cs="仿宋_GB2312"/>
          <w:b w:val="0"/>
          <w:bCs w:val="0"/>
          <w:sz w:val="32"/>
          <w:szCs w:val="32"/>
          <w:highlight w:val="none"/>
          <w:lang w:val="en-US" w:eastAsia="zh-CN"/>
        </w:rPr>
      </w:pPr>
    </w:p>
    <w:p>
      <w:pPr>
        <w:pStyle w:val="2"/>
        <w:ind w:left="0" w:leftChars="0" w:firstLine="0" w:firstLineChars="0"/>
        <w:rPr>
          <w:rFonts w:hint="eastAsia"/>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第六章评审办法</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一、谈判小组首先对响应文件进行初步评审。初步评审包括形式、资格、响应性评审，初步评审不合格的否决谈判资格，不得进入谈判。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响应文件中各项价格不一致时，以报价函报价为准。报价有算术错误及其他错误的，谈判小组按以下原则要求响应供应商对报价进行修正，并要求响应供应商书面澄清确认。响应供应商拒不澄清确认的，谈判小组可以否决其响应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1.响应文件中的大写金额与小写金额不一致的，以大写金额为准。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2.报价表中合价金额与单价金额不一致的，以单价金额为准，但单价金额小数点有明显错误的除外。</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3.如果</w:t>
      </w:r>
      <w:r>
        <w:rPr>
          <w:rFonts w:hint="eastAsia" w:ascii="仿宋_GB2312" w:hAnsi="仿宋_GB2312" w:eastAsia="仿宋_GB2312" w:cs="仿宋_GB2312"/>
          <w:sz w:val="32"/>
          <w:szCs w:val="32"/>
          <w:highlight w:val="none"/>
          <w:lang w:val="en-US" w:eastAsia="zh-CN"/>
        </w:rPr>
        <w:t>报价明细表</w:t>
      </w:r>
      <w:r>
        <w:rPr>
          <w:rFonts w:hint="eastAsia" w:ascii="仿宋_GB2312" w:hAnsi="仿宋_GB2312" w:eastAsia="仿宋_GB2312" w:cs="仿宋_GB2312"/>
          <w:sz w:val="32"/>
          <w:szCs w:val="32"/>
          <w:highlight w:val="none"/>
        </w:rPr>
        <w:t>中存在缺漏项，则视为缺漏项价格已包含在其他分项报价之中。</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三、满足技术规格书要求的前提下且初步评审合格后进入详细评审，详细评审采用评审最低价法确定成交供应商。</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第七章异议（质疑）处理</w:t>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一、对采购文件有异议的，异议人应当在响应截止时间前通过书面提出。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二、对谈判过程有异议的，异议人应当在谈判期间当场提出。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三、对评审结果有异议的，异议人应当在成交候选人公示期间提出。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受理部门：淮北矿业股份有限公司物资分公司</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联系电话：0561-495</w:t>
      </w:r>
      <w:r>
        <w:rPr>
          <w:rFonts w:hint="eastAsia" w:ascii="仿宋_GB2312" w:hAnsi="仿宋_GB2312" w:eastAsia="仿宋_GB2312" w:cs="仿宋_GB2312"/>
          <w:sz w:val="32"/>
          <w:szCs w:val="32"/>
          <w:highlight w:val="none"/>
          <w:lang w:val="en-US" w:eastAsia="zh-CN"/>
        </w:rPr>
        <w:t>1390</w:t>
      </w:r>
      <w:r>
        <w:rPr>
          <w:rFonts w:hint="eastAsia" w:ascii="仿宋_GB2312" w:hAnsi="仿宋_GB2312" w:eastAsia="仿宋_GB2312" w:cs="仿宋_GB2312"/>
          <w:sz w:val="32"/>
          <w:szCs w:val="32"/>
          <w:highlight w:val="none"/>
        </w:rPr>
        <w:t>（工作日8:30-12:0014:30-17:00）</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异议人提出异议应当按照下列格式提交异议书。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（项目名称）异议书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授权委托代理人：身份证号：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住址：联系电话：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被异议人：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异议事项的基本事实：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相关请求及主张：</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有效线索和相关证明材料：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异议提出人与该项目有利害关系的证明材料：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此致：（受理部门）</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附件：1.法定代表人授权委托书2.法人单位的有效证明3.代理人本人的有效身份证明4.相关证明材料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4800" w:firstLineChars="1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年月日</w:t>
      </w:r>
    </w:p>
    <w:p>
      <w:pPr>
        <w:keepNext w:val="0"/>
        <w:keepLines w:val="0"/>
        <w:pageBreakBefore w:val="0"/>
        <w:wordWrap/>
        <w:overflowPunct/>
        <w:topLinePunct w:val="0"/>
        <w:bidi w:val="0"/>
        <w:spacing w:line="560" w:lineRule="exact"/>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诚信异议承诺书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（异议人名称）郑重承诺：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遵循公开、公平、公正和诚实信用的原则参加(具体的响应报价项目名称)的响应报价活动，已熟知采购文件关于异议相关要求，并承诺依法依规并按采购文件要求递交相关异议材料，如有虚假异议和恶意异议的情形，承担相关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一、本次异议所提供的一切材料都是真实、合法、有效的。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二、本次异议活动过程中无违反法律法规和采购文件规定的各种虚假异议和恶意异议行为。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三、若违反诚信原则和本承诺书，愿意根据法律法规和采购文件的规定，接受淮北矿业集团关于限制交易和停止交易等黑名单相关处理，接受报价保证金（如有）不予退还。</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四、若有违反本承诺内容的行为，承担相应的法律责任。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3840" w:firstLineChars="1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5440" w:firstLineChars="17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年月日</w:t>
      </w:r>
    </w:p>
    <w:p>
      <w:pPr>
        <w:keepNext w:val="0"/>
        <w:keepLines w:val="0"/>
        <w:pageBreakBefore w:val="0"/>
        <w:wordWrap/>
        <w:overflowPunct/>
        <w:topLinePunct w:val="0"/>
        <w:bidi w:val="0"/>
        <w:spacing w:line="560" w:lineRule="exact"/>
        <w:ind w:firstLine="1920" w:firstLineChars="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异议人是法人的，异议书必须由其法定代表人签字并加盖公章；异议人是其他组织或者自然人的，异议书必须由其主要负责人或者自然人本人签字。法定代表人、主要负责人或者自然人本人应当附有效身份证明（验原件，留复印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异议人可以自己直接提出异议，也可以授权委托代理人办理异议事务。代理人办理异议事务时，应当将异议书、法定代表人授权委托书、法人单位的有效证明（验原件，留加盖公章的复印件）、代理人本人的有效身份证明（验原件，留复印件）一并提交给受理部门。法定代表人授权委托书应当明确有关授权委托代理权限和事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3.异议书有关材料是外文的，异议人应当同时提供其中文译本。</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四、有下列情形之一的，采购人可以不予受理异议</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（一）异议人不是响应供应商或者其他利害关系人的。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（二）未在规定的期限内，按照规定要求提出异议的。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（三）应当以书面形式提出但未以书面形式提出的。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（四）异议书未属具异议人真实名称、相关签字公章和有效联系方式的，代理人没有相应的法定代表人授权委托书、法人单位的有效证明、代理人本人的有效身份证明的或有关委托代理权限和事项不明确的。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（五）谈判现场已经异议人确认的事项，公示后异议人又就同一事项提出异议的。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（六）采购人已经作出书面答复，异议人无新的事实证据，又就同一事项提出异议的。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（七）异议人撤回异议，又以同一事实和理由再次提出异议的。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（八）书面异议（质疑）材料不完整的。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（九）异议（质疑）事项含有主观猜测等内容且无充分有效证据的。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（十）对其他响应供应商的响应文件详细内容异议（质疑），无法提供合法来源渠道的。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（十一）异议人不配合异议事项办理的。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（十二）违反相关法律法规的。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五、对于虚假、恶意异议的处理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出异议的响应供应商不得以异议为名进行虚假、恶意异议，干扰采购活动的正常进行。对于提供虚假材料，以异议为名谋取成交或恶意异议扰乱采购工作秩序，以及近六个月内无效异议累计超过两次，或近一年内累计超过三次的，淮北矿业按照采购管理相关规定及供应商管理办法，将其记入淮北矿业“黑名单”，并按相关流程严肃处理。</w:t>
      </w:r>
    </w:p>
    <w:sectPr>
      <w:pgSz w:w="11906" w:h="16838"/>
      <w:pgMar w:top="1247" w:right="1587" w:bottom="1304" w:left="1587"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libaba-M">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F8"/>
    <w:rsid w:val="00053E71"/>
    <w:rsid w:val="00076838"/>
    <w:rsid w:val="001643FA"/>
    <w:rsid w:val="002140F0"/>
    <w:rsid w:val="00285085"/>
    <w:rsid w:val="0036404C"/>
    <w:rsid w:val="00382E87"/>
    <w:rsid w:val="0039039B"/>
    <w:rsid w:val="003A1246"/>
    <w:rsid w:val="003C48C4"/>
    <w:rsid w:val="004241B3"/>
    <w:rsid w:val="004A56E0"/>
    <w:rsid w:val="004D3A68"/>
    <w:rsid w:val="004E0731"/>
    <w:rsid w:val="00525F10"/>
    <w:rsid w:val="005E1976"/>
    <w:rsid w:val="00603492"/>
    <w:rsid w:val="00655938"/>
    <w:rsid w:val="0067622D"/>
    <w:rsid w:val="006D5C02"/>
    <w:rsid w:val="00781DFA"/>
    <w:rsid w:val="007B5315"/>
    <w:rsid w:val="00806BB3"/>
    <w:rsid w:val="00822DFE"/>
    <w:rsid w:val="00881CF8"/>
    <w:rsid w:val="009269A2"/>
    <w:rsid w:val="009713FF"/>
    <w:rsid w:val="009E5347"/>
    <w:rsid w:val="00AB1B3A"/>
    <w:rsid w:val="00AB7514"/>
    <w:rsid w:val="00B02EA2"/>
    <w:rsid w:val="00B15B31"/>
    <w:rsid w:val="00B26793"/>
    <w:rsid w:val="00B30DE8"/>
    <w:rsid w:val="00B54628"/>
    <w:rsid w:val="00B56777"/>
    <w:rsid w:val="00C30928"/>
    <w:rsid w:val="00C917D0"/>
    <w:rsid w:val="00CB04B4"/>
    <w:rsid w:val="00D32BE5"/>
    <w:rsid w:val="00D51E4D"/>
    <w:rsid w:val="00D914B6"/>
    <w:rsid w:val="00EA0A26"/>
    <w:rsid w:val="00F038B5"/>
    <w:rsid w:val="01200F7F"/>
    <w:rsid w:val="014F7656"/>
    <w:rsid w:val="0156352C"/>
    <w:rsid w:val="016C3047"/>
    <w:rsid w:val="01F9035B"/>
    <w:rsid w:val="021653B1"/>
    <w:rsid w:val="02941E04"/>
    <w:rsid w:val="037A05EF"/>
    <w:rsid w:val="04073D5A"/>
    <w:rsid w:val="04F04376"/>
    <w:rsid w:val="05024EA4"/>
    <w:rsid w:val="05526046"/>
    <w:rsid w:val="056476AA"/>
    <w:rsid w:val="058F1702"/>
    <w:rsid w:val="05B2719F"/>
    <w:rsid w:val="05EF10BB"/>
    <w:rsid w:val="05F1422D"/>
    <w:rsid w:val="06150C97"/>
    <w:rsid w:val="061D286A"/>
    <w:rsid w:val="064E6EC7"/>
    <w:rsid w:val="0683550F"/>
    <w:rsid w:val="06977C4E"/>
    <w:rsid w:val="069F7723"/>
    <w:rsid w:val="06EB0BBA"/>
    <w:rsid w:val="070E11E2"/>
    <w:rsid w:val="07177C01"/>
    <w:rsid w:val="076B7A24"/>
    <w:rsid w:val="07950B26"/>
    <w:rsid w:val="080D3F91"/>
    <w:rsid w:val="089808CE"/>
    <w:rsid w:val="08BF5E5A"/>
    <w:rsid w:val="08ED6E6B"/>
    <w:rsid w:val="095D5673"/>
    <w:rsid w:val="09C556F2"/>
    <w:rsid w:val="09F927A2"/>
    <w:rsid w:val="0A6E15DE"/>
    <w:rsid w:val="0AF142C5"/>
    <w:rsid w:val="0AF618DB"/>
    <w:rsid w:val="0B26054B"/>
    <w:rsid w:val="0B646AD9"/>
    <w:rsid w:val="0BB91287"/>
    <w:rsid w:val="0BD240F7"/>
    <w:rsid w:val="0C7B3CA5"/>
    <w:rsid w:val="0D5016DC"/>
    <w:rsid w:val="0D58062B"/>
    <w:rsid w:val="0D5C2DA7"/>
    <w:rsid w:val="0D6A407C"/>
    <w:rsid w:val="0DF93775"/>
    <w:rsid w:val="0E2A646C"/>
    <w:rsid w:val="0E4167FB"/>
    <w:rsid w:val="0E6809A5"/>
    <w:rsid w:val="0EC600A2"/>
    <w:rsid w:val="0ECB739B"/>
    <w:rsid w:val="0F112C3E"/>
    <w:rsid w:val="0F482560"/>
    <w:rsid w:val="0FA45DAA"/>
    <w:rsid w:val="0FC01DAB"/>
    <w:rsid w:val="0FC66675"/>
    <w:rsid w:val="0FD85A54"/>
    <w:rsid w:val="10463305"/>
    <w:rsid w:val="10563548"/>
    <w:rsid w:val="106E38EB"/>
    <w:rsid w:val="10703EDE"/>
    <w:rsid w:val="108C6F6A"/>
    <w:rsid w:val="10CB37F1"/>
    <w:rsid w:val="11274EE5"/>
    <w:rsid w:val="11567578"/>
    <w:rsid w:val="117479FE"/>
    <w:rsid w:val="11A6405B"/>
    <w:rsid w:val="11C646FD"/>
    <w:rsid w:val="11E626AA"/>
    <w:rsid w:val="11EA7047"/>
    <w:rsid w:val="12046FD4"/>
    <w:rsid w:val="1246139A"/>
    <w:rsid w:val="12633CFA"/>
    <w:rsid w:val="127708C7"/>
    <w:rsid w:val="127E0B34"/>
    <w:rsid w:val="12AA19A0"/>
    <w:rsid w:val="12BE5855"/>
    <w:rsid w:val="13141EC1"/>
    <w:rsid w:val="13161C63"/>
    <w:rsid w:val="13AC24A2"/>
    <w:rsid w:val="13CC1D73"/>
    <w:rsid w:val="13CE6CCE"/>
    <w:rsid w:val="14145F9C"/>
    <w:rsid w:val="146A3A0B"/>
    <w:rsid w:val="15121A08"/>
    <w:rsid w:val="158A63F2"/>
    <w:rsid w:val="15915022"/>
    <w:rsid w:val="1629096C"/>
    <w:rsid w:val="16311102"/>
    <w:rsid w:val="164172C0"/>
    <w:rsid w:val="16917C74"/>
    <w:rsid w:val="16BA5DB8"/>
    <w:rsid w:val="16C87A3E"/>
    <w:rsid w:val="16C943D5"/>
    <w:rsid w:val="16D9191F"/>
    <w:rsid w:val="16DE30BD"/>
    <w:rsid w:val="16EC67AE"/>
    <w:rsid w:val="16F854B3"/>
    <w:rsid w:val="170B4961"/>
    <w:rsid w:val="17391E88"/>
    <w:rsid w:val="173B6FF4"/>
    <w:rsid w:val="17887D5F"/>
    <w:rsid w:val="18561C0B"/>
    <w:rsid w:val="18722EE9"/>
    <w:rsid w:val="18CE634F"/>
    <w:rsid w:val="19A433AA"/>
    <w:rsid w:val="19BE7C49"/>
    <w:rsid w:val="19E21103"/>
    <w:rsid w:val="19ED659F"/>
    <w:rsid w:val="1A7F5449"/>
    <w:rsid w:val="1A9A6727"/>
    <w:rsid w:val="1AA8115B"/>
    <w:rsid w:val="1AC35C7E"/>
    <w:rsid w:val="1B520DB0"/>
    <w:rsid w:val="1B7C712F"/>
    <w:rsid w:val="1BAF0CD9"/>
    <w:rsid w:val="1BD62C98"/>
    <w:rsid w:val="1C450915"/>
    <w:rsid w:val="1C905D5F"/>
    <w:rsid w:val="1CAE64BA"/>
    <w:rsid w:val="1D0A7054"/>
    <w:rsid w:val="1D13456F"/>
    <w:rsid w:val="1D14783F"/>
    <w:rsid w:val="1D277E4F"/>
    <w:rsid w:val="1D801C57"/>
    <w:rsid w:val="1DC7696E"/>
    <w:rsid w:val="1E69544E"/>
    <w:rsid w:val="1E9D223F"/>
    <w:rsid w:val="1EA731C1"/>
    <w:rsid w:val="1EB07A27"/>
    <w:rsid w:val="1F1F3A88"/>
    <w:rsid w:val="1F8E3AB0"/>
    <w:rsid w:val="1FD51490"/>
    <w:rsid w:val="1FF31AF9"/>
    <w:rsid w:val="200843F5"/>
    <w:rsid w:val="203B11B1"/>
    <w:rsid w:val="2096173F"/>
    <w:rsid w:val="20B111EC"/>
    <w:rsid w:val="20C718F8"/>
    <w:rsid w:val="21102941"/>
    <w:rsid w:val="211B1C44"/>
    <w:rsid w:val="2168725F"/>
    <w:rsid w:val="218D625E"/>
    <w:rsid w:val="21E169EA"/>
    <w:rsid w:val="21FB093B"/>
    <w:rsid w:val="22274D44"/>
    <w:rsid w:val="223263F7"/>
    <w:rsid w:val="227B1683"/>
    <w:rsid w:val="230E380E"/>
    <w:rsid w:val="232E2103"/>
    <w:rsid w:val="235D4796"/>
    <w:rsid w:val="236D60F1"/>
    <w:rsid w:val="239301B8"/>
    <w:rsid w:val="23B86C80"/>
    <w:rsid w:val="23FE64DD"/>
    <w:rsid w:val="244119C2"/>
    <w:rsid w:val="247E3C8E"/>
    <w:rsid w:val="24975A86"/>
    <w:rsid w:val="24AA41F4"/>
    <w:rsid w:val="24CF521F"/>
    <w:rsid w:val="255F47F5"/>
    <w:rsid w:val="25ED0053"/>
    <w:rsid w:val="25FD0A32"/>
    <w:rsid w:val="26190E48"/>
    <w:rsid w:val="26D11723"/>
    <w:rsid w:val="273A2BA5"/>
    <w:rsid w:val="275424A9"/>
    <w:rsid w:val="278648CB"/>
    <w:rsid w:val="279C1B1F"/>
    <w:rsid w:val="27F33C7F"/>
    <w:rsid w:val="28BD6603"/>
    <w:rsid w:val="28D04587"/>
    <w:rsid w:val="290D27BA"/>
    <w:rsid w:val="29606D8E"/>
    <w:rsid w:val="29883BEF"/>
    <w:rsid w:val="299C6289"/>
    <w:rsid w:val="29BE464F"/>
    <w:rsid w:val="29CE5AA6"/>
    <w:rsid w:val="2A1461C3"/>
    <w:rsid w:val="2A396CE3"/>
    <w:rsid w:val="2A57783B"/>
    <w:rsid w:val="2A604045"/>
    <w:rsid w:val="2A93222D"/>
    <w:rsid w:val="2B486052"/>
    <w:rsid w:val="2C187507"/>
    <w:rsid w:val="2D142369"/>
    <w:rsid w:val="2D3D14EB"/>
    <w:rsid w:val="2D5E35E4"/>
    <w:rsid w:val="2D962D7E"/>
    <w:rsid w:val="2D962E80"/>
    <w:rsid w:val="2DD03E3F"/>
    <w:rsid w:val="2E501102"/>
    <w:rsid w:val="2E5277D8"/>
    <w:rsid w:val="2E552C39"/>
    <w:rsid w:val="2E6B420B"/>
    <w:rsid w:val="2E7608AB"/>
    <w:rsid w:val="2E8D23D3"/>
    <w:rsid w:val="2EB21578"/>
    <w:rsid w:val="2EB3176D"/>
    <w:rsid w:val="2EC456C9"/>
    <w:rsid w:val="2ECB4CA9"/>
    <w:rsid w:val="2EEF701A"/>
    <w:rsid w:val="2F7B1BAE"/>
    <w:rsid w:val="3044418E"/>
    <w:rsid w:val="309F63EE"/>
    <w:rsid w:val="30A734F4"/>
    <w:rsid w:val="30BF058C"/>
    <w:rsid w:val="318D4498"/>
    <w:rsid w:val="319E48F7"/>
    <w:rsid w:val="31DA3AEF"/>
    <w:rsid w:val="31E3055C"/>
    <w:rsid w:val="3291620A"/>
    <w:rsid w:val="32933D30"/>
    <w:rsid w:val="32981BA7"/>
    <w:rsid w:val="32A352C3"/>
    <w:rsid w:val="33505792"/>
    <w:rsid w:val="337F39B4"/>
    <w:rsid w:val="33B977C6"/>
    <w:rsid w:val="35066379"/>
    <w:rsid w:val="3546508A"/>
    <w:rsid w:val="359A53D6"/>
    <w:rsid w:val="35D129A2"/>
    <w:rsid w:val="35EF127D"/>
    <w:rsid w:val="362F1FC2"/>
    <w:rsid w:val="36613B14"/>
    <w:rsid w:val="36897924"/>
    <w:rsid w:val="36D14E27"/>
    <w:rsid w:val="371140A5"/>
    <w:rsid w:val="371207B5"/>
    <w:rsid w:val="37171623"/>
    <w:rsid w:val="37386C54"/>
    <w:rsid w:val="37500271"/>
    <w:rsid w:val="37C87FD8"/>
    <w:rsid w:val="37EF4766"/>
    <w:rsid w:val="38A50ED6"/>
    <w:rsid w:val="38BE762D"/>
    <w:rsid w:val="395C1CA2"/>
    <w:rsid w:val="398C590D"/>
    <w:rsid w:val="39C77000"/>
    <w:rsid w:val="39FB3138"/>
    <w:rsid w:val="3A1A0893"/>
    <w:rsid w:val="3AC151B3"/>
    <w:rsid w:val="3B081C60"/>
    <w:rsid w:val="3B471B5C"/>
    <w:rsid w:val="3B6127C8"/>
    <w:rsid w:val="3BFB3DD6"/>
    <w:rsid w:val="3C1E0B0E"/>
    <w:rsid w:val="3C375C11"/>
    <w:rsid w:val="3CB73A7B"/>
    <w:rsid w:val="3CBA3724"/>
    <w:rsid w:val="3CEC3BF0"/>
    <w:rsid w:val="3D1B504E"/>
    <w:rsid w:val="3DCD69E2"/>
    <w:rsid w:val="3DFC7028"/>
    <w:rsid w:val="3EC62D97"/>
    <w:rsid w:val="3F0922E5"/>
    <w:rsid w:val="3F9904AC"/>
    <w:rsid w:val="3FC512A1"/>
    <w:rsid w:val="40923879"/>
    <w:rsid w:val="40A42D45"/>
    <w:rsid w:val="411E6EBB"/>
    <w:rsid w:val="41E104A2"/>
    <w:rsid w:val="41EF6EB5"/>
    <w:rsid w:val="42213106"/>
    <w:rsid w:val="42DA5063"/>
    <w:rsid w:val="43910F3B"/>
    <w:rsid w:val="442318CF"/>
    <w:rsid w:val="44557C47"/>
    <w:rsid w:val="44CA3141"/>
    <w:rsid w:val="44EF25A5"/>
    <w:rsid w:val="45191BF7"/>
    <w:rsid w:val="455E3D2A"/>
    <w:rsid w:val="462D194E"/>
    <w:rsid w:val="4665733A"/>
    <w:rsid w:val="46AA359E"/>
    <w:rsid w:val="46FE18DA"/>
    <w:rsid w:val="477B44E0"/>
    <w:rsid w:val="47DC187E"/>
    <w:rsid w:val="47E641C2"/>
    <w:rsid w:val="47FE7A46"/>
    <w:rsid w:val="48CB0489"/>
    <w:rsid w:val="48D10CB7"/>
    <w:rsid w:val="494B6C7D"/>
    <w:rsid w:val="4957740E"/>
    <w:rsid w:val="49CD147E"/>
    <w:rsid w:val="4A301A0D"/>
    <w:rsid w:val="4A730A81"/>
    <w:rsid w:val="4A843B89"/>
    <w:rsid w:val="4B09298A"/>
    <w:rsid w:val="4B9366F7"/>
    <w:rsid w:val="4BED4059"/>
    <w:rsid w:val="4BF453E8"/>
    <w:rsid w:val="4C0C1F87"/>
    <w:rsid w:val="4C3E0E51"/>
    <w:rsid w:val="4C4243A5"/>
    <w:rsid w:val="4CE70AA9"/>
    <w:rsid w:val="4D083ED2"/>
    <w:rsid w:val="4D2A1817"/>
    <w:rsid w:val="4D362EE1"/>
    <w:rsid w:val="4DCA28A4"/>
    <w:rsid w:val="4DD523FB"/>
    <w:rsid w:val="4E832A53"/>
    <w:rsid w:val="4EC969CC"/>
    <w:rsid w:val="4ED77978"/>
    <w:rsid w:val="4F49480A"/>
    <w:rsid w:val="4F4E41CF"/>
    <w:rsid w:val="4FBA34DD"/>
    <w:rsid w:val="4FDF015D"/>
    <w:rsid w:val="504C02BF"/>
    <w:rsid w:val="50597248"/>
    <w:rsid w:val="50923421"/>
    <w:rsid w:val="50976C04"/>
    <w:rsid w:val="50A51C08"/>
    <w:rsid w:val="50AB6155"/>
    <w:rsid w:val="51020E71"/>
    <w:rsid w:val="511851BE"/>
    <w:rsid w:val="51481364"/>
    <w:rsid w:val="51534795"/>
    <w:rsid w:val="52176253"/>
    <w:rsid w:val="522E0F28"/>
    <w:rsid w:val="52362997"/>
    <w:rsid w:val="52465B9C"/>
    <w:rsid w:val="52666914"/>
    <w:rsid w:val="52D03C5E"/>
    <w:rsid w:val="52D3730D"/>
    <w:rsid w:val="52DC4BAE"/>
    <w:rsid w:val="530879CB"/>
    <w:rsid w:val="53662C69"/>
    <w:rsid w:val="538A6AF8"/>
    <w:rsid w:val="539B25ED"/>
    <w:rsid w:val="53BF0089"/>
    <w:rsid w:val="54213C7F"/>
    <w:rsid w:val="5463135D"/>
    <w:rsid w:val="549A4A45"/>
    <w:rsid w:val="54D15DC5"/>
    <w:rsid w:val="55241A95"/>
    <w:rsid w:val="552D3719"/>
    <w:rsid w:val="55326F81"/>
    <w:rsid w:val="55EA33B8"/>
    <w:rsid w:val="56044479"/>
    <w:rsid w:val="56847368"/>
    <w:rsid w:val="573B036F"/>
    <w:rsid w:val="575329D5"/>
    <w:rsid w:val="57C70A95"/>
    <w:rsid w:val="585B0226"/>
    <w:rsid w:val="587D0513"/>
    <w:rsid w:val="5894179C"/>
    <w:rsid w:val="58F509F1"/>
    <w:rsid w:val="5930643C"/>
    <w:rsid w:val="5A020049"/>
    <w:rsid w:val="5A6E3EE3"/>
    <w:rsid w:val="5A987886"/>
    <w:rsid w:val="5AFF5784"/>
    <w:rsid w:val="5B224E28"/>
    <w:rsid w:val="5B5C238A"/>
    <w:rsid w:val="5B6339F0"/>
    <w:rsid w:val="5BAB5397"/>
    <w:rsid w:val="5C0663CC"/>
    <w:rsid w:val="5C403417"/>
    <w:rsid w:val="5C9347A9"/>
    <w:rsid w:val="5CA4525C"/>
    <w:rsid w:val="5CDD6245"/>
    <w:rsid w:val="5D213B63"/>
    <w:rsid w:val="5D281862"/>
    <w:rsid w:val="5D301FF8"/>
    <w:rsid w:val="5D746389"/>
    <w:rsid w:val="5D8F6D1E"/>
    <w:rsid w:val="5D937D34"/>
    <w:rsid w:val="5DCE3E64"/>
    <w:rsid w:val="5E134CE3"/>
    <w:rsid w:val="5E14191A"/>
    <w:rsid w:val="5E344684"/>
    <w:rsid w:val="5F23058C"/>
    <w:rsid w:val="5FE550F4"/>
    <w:rsid w:val="5FFD5C10"/>
    <w:rsid w:val="60AC112E"/>
    <w:rsid w:val="612400C6"/>
    <w:rsid w:val="613F6CAD"/>
    <w:rsid w:val="616D55C9"/>
    <w:rsid w:val="61803709"/>
    <w:rsid w:val="61BB521F"/>
    <w:rsid w:val="61D2367E"/>
    <w:rsid w:val="61F45CEA"/>
    <w:rsid w:val="6264175C"/>
    <w:rsid w:val="62A6140D"/>
    <w:rsid w:val="63181564"/>
    <w:rsid w:val="6320666B"/>
    <w:rsid w:val="63224191"/>
    <w:rsid w:val="63411921"/>
    <w:rsid w:val="634531C1"/>
    <w:rsid w:val="63464323"/>
    <w:rsid w:val="63D7431B"/>
    <w:rsid w:val="63EF5D46"/>
    <w:rsid w:val="640E2967"/>
    <w:rsid w:val="641E704E"/>
    <w:rsid w:val="64630F05"/>
    <w:rsid w:val="65191C96"/>
    <w:rsid w:val="65D91168"/>
    <w:rsid w:val="6615622F"/>
    <w:rsid w:val="662479EE"/>
    <w:rsid w:val="664D59C9"/>
    <w:rsid w:val="66754F1F"/>
    <w:rsid w:val="66BA707E"/>
    <w:rsid w:val="66BE0674"/>
    <w:rsid w:val="66E6284F"/>
    <w:rsid w:val="67065B78"/>
    <w:rsid w:val="670E33AA"/>
    <w:rsid w:val="672B0B51"/>
    <w:rsid w:val="679D4037"/>
    <w:rsid w:val="68A1024E"/>
    <w:rsid w:val="68B95597"/>
    <w:rsid w:val="695B21AB"/>
    <w:rsid w:val="69CA10DE"/>
    <w:rsid w:val="69EF42C3"/>
    <w:rsid w:val="69F148BD"/>
    <w:rsid w:val="6AAD0439"/>
    <w:rsid w:val="6AFE54E3"/>
    <w:rsid w:val="6B1C05BE"/>
    <w:rsid w:val="6B534085"/>
    <w:rsid w:val="6B9143EA"/>
    <w:rsid w:val="6BE24C29"/>
    <w:rsid w:val="6C251FBB"/>
    <w:rsid w:val="6C5E5AB6"/>
    <w:rsid w:val="6C7166AB"/>
    <w:rsid w:val="6CD92286"/>
    <w:rsid w:val="6D333A34"/>
    <w:rsid w:val="6E1119D2"/>
    <w:rsid w:val="6F0B4673"/>
    <w:rsid w:val="6F48029A"/>
    <w:rsid w:val="7006011B"/>
    <w:rsid w:val="70700C31"/>
    <w:rsid w:val="709155D5"/>
    <w:rsid w:val="70D11B64"/>
    <w:rsid w:val="70D177C0"/>
    <w:rsid w:val="70DA254F"/>
    <w:rsid w:val="70E84C6C"/>
    <w:rsid w:val="71357785"/>
    <w:rsid w:val="71461992"/>
    <w:rsid w:val="7178644A"/>
    <w:rsid w:val="71AA3CCF"/>
    <w:rsid w:val="71AC3EEB"/>
    <w:rsid w:val="71B72890"/>
    <w:rsid w:val="720A212A"/>
    <w:rsid w:val="7230185E"/>
    <w:rsid w:val="729C5DE0"/>
    <w:rsid w:val="73065CB6"/>
    <w:rsid w:val="735238B8"/>
    <w:rsid w:val="73813156"/>
    <w:rsid w:val="73845482"/>
    <w:rsid w:val="73E84F83"/>
    <w:rsid w:val="73FB2F08"/>
    <w:rsid w:val="740B06A5"/>
    <w:rsid w:val="74804EA6"/>
    <w:rsid w:val="750556C0"/>
    <w:rsid w:val="751911FC"/>
    <w:rsid w:val="75E7065A"/>
    <w:rsid w:val="76053BCA"/>
    <w:rsid w:val="7633736D"/>
    <w:rsid w:val="763B3A90"/>
    <w:rsid w:val="76643F31"/>
    <w:rsid w:val="76E557A9"/>
    <w:rsid w:val="771039C0"/>
    <w:rsid w:val="771B1C48"/>
    <w:rsid w:val="77567082"/>
    <w:rsid w:val="779A647C"/>
    <w:rsid w:val="77D53A70"/>
    <w:rsid w:val="77D71596"/>
    <w:rsid w:val="78283BA0"/>
    <w:rsid w:val="78632C3D"/>
    <w:rsid w:val="78EC3915"/>
    <w:rsid w:val="79151824"/>
    <w:rsid w:val="79334EF2"/>
    <w:rsid w:val="79DC3986"/>
    <w:rsid w:val="7A1B7E60"/>
    <w:rsid w:val="7A604A29"/>
    <w:rsid w:val="7A6051C4"/>
    <w:rsid w:val="7AE0084F"/>
    <w:rsid w:val="7AFE6E3A"/>
    <w:rsid w:val="7B000E04"/>
    <w:rsid w:val="7B706CA7"/>
    <w:rsid w:val="7B8A305E"/>
    <w:rsid w:val="7B937C52"/>
    <w:rsid w:val="7BA66973"/>
    <w:rsid w:val="7BD81D81"/>
    <w:rsid w:val="7BE52EB9"/>
    <w:rsid w:val="7C06244A"/>
    <w:rsid w:val="7C084414"/>
    <w:rsid w:val="7C12462D"/>
    <w:rsid w:val="7C3224BA"/>
    <w:rsid w:val="7D032E2D"/>
    <w:rsid w:val="7D327DB0"/>
    <w:rsid w:val="7D8C2E23"/>
    <w:rsid w:val="7DFA225B"/>
    <w:rsid w:val="7E156974"/>
    <w:rsid w:val="7E402EFE"/>
    <w:rsid w:val="7E5F6B49"/>
    <w:rsid w:val="7E680CC6"/>
    <w:rsid w:val="7EA771E6"/>
    <w:rsid w:val="7EAA1510"/>
    <w:rsid w:val="7F1051F1"/>
    <w:rsid w:val="7F187DBF"/>
    <w:rsid w:val="7F3D52E6"/>
    <w:rsid w:val="7F986DEB"/>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880" w:firstLineChars="200"/>
    </w:pPr>
  </w:style>
  <w:style w:type="paragraph" w:styleId="3">
    <w:name w:val="Body Text"/>
    <w:basedOn w:val="1"/>
    <w:link w:val="12"/>
    <w:qFormat/>
    <w:uiPriority w:val="0"/>
    <w:pPr>
      <w:widowControl/>
      <w:kinsoku w:val="0"/>
      <w:autoSpaceDE w:val="0"/>
      <w:autoSpaceDN w:val="0"/>
      <w:adjustRightInd w:val="0"/>
      <w:snapToGrid w:val="0"/>
      <w:jc w:val="left"/>
    </w:pPr>
    <w:rPr>
      <w:rFonts w:hint="eastAsia" w:ascii="宋体" w:hAnsi="宋体" w:eastAsia="宋体" w:cs="Times New Roman"/>
      <w:color w:val="000000"/>
      <w:kern w:val="0"/>
      <w:sz w:val="32"/>
      <w:szCs w:val="32"/>
    </w:rPr>
  </w:style>
  <w:style w:type="paragraph" w:styleId="4">
    <w:name w:val="footer"/>
    <w:basedOn w:val="1"/>
    <w:link w:val="10"/>
    <w:qFormat/>
    <w:uiPriority w:val="0"/>
    <w:pPr>
      <w:tabs>
        <w:tab w:val="center" w:pos="4153"/>
        <w:tab w:val="right" w:pos="8306"/>
      </w:tabs>
      <w:snapToGrid w:val="0"/>
      <w:jc w:val="left"/>
    </w:pPr>
    <w:rPr>
      <w:sz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2"/>
    <w:basedOn w:val="1"/>
    <w:qFormat/>
    <w:uiPriority w:val="0"/>
    <w:pPr>
      <w:jc w:val="center"/>
    </w:pPr>
    <w:rPr>
      <w:kern w:val="1"/>
      <w:sz w:val="28"/>
    </w:rPr>
  </w:style>
  <w:style w:type="character" w:styleId="9">
    <w:name w:val="Strong"/>
    <w:basedOn w:val="8"/>
    <w:qFormat/>
    <w:uiPriority w:val="0"/>
    <w:rPr>
      <w:b/>
    </w:rPr>
  </w:style>
  <w:style w:type="character" w:customStyle="1" w:styleId="10">
    <w:name w:val="页脚 字符"/>
    <w:basedOn w:val="8"/>
    <w:link w:val="4"/>
    <w:qFormat/>
    <w:uiPriority w:val="0"/>
    <w:rPr>
      <w:color w:val="000000"/>
      <w:sz w:val="18"/>
      <w:szCs w:val="18"/>
    </w:rPr>
  </w:style>
  <w:style w:type="paragraph" w:customStyle="1" w:styleId="11">
    <w:name w:val="Text"/>
    <w:basedOn w:val="1"/>
    <w:qFormat/>
    <w:uiPriority w:val="0"/>
    <w:pPr>
      <w:widowControl/>
      <w:spacing w:line="314" w:lineRule="auto"/>
      <w:jc w:val="left"/>
    </w:pPr>
    <w:rPr>
      <w:rFonts w:hint="eastAsia" w:ascii="宋体" w:hAnsi="宋体" w:eastAsia="宋体" w:cs="Times New Roman"/>
      <w:color w:val="000000"/>
      <w:kern w:val="0"/>
      <w:szCs w:val="20"/>
    </w:rPr>
  </w:style>
  <w:style w:type="character" w:customStyle="1" w:styleId="12">
    <w:name w:val="正文文本 字符"/>
    <w:basedOn w:val="8"/>
    <w:link w:val="3"/>
    <w:qFormat/>
    <w:uiPriority w:val="0"/>
    <w:rPr>
      <w:rFonts w:hint="eastAsia" w:ascii="宋体" w:hAnsi="宋体" w:eastAsia="宋体" w:cs="宋体"/>
      <w:sz w:val="32"/>
      <w:szCs w:val="32"/>
    </w:rPr>
  </w:style>
  <w:style w:type="character" w:customStyle="1" w:styleId="13">
    <w:name w:val="页眉 字符"/>
    <w:basedOn w:val="8"/>
    <w:link w:val="5"/>
    <w:qFormat/>
    <w:uiPriority w:val="0"/>
    <w:rPr>
      <w:rFonts w:asciiTheme="minorHAnsi" w:hAnsiTheme="minorHAnsi" w:eastAsiaTheme="minorEastAsia" w:cstheme="minorBidi"/>
      <w:kern w:val="2"/>
      <w:sz w:val="18"/>
      <w:szCs w:val="18"/>
    </w:rPr>
  </w:style>
  <w:style w:type="character" w:customStyle="1" w:styleId="14">
    <w:name w:val="font31"/>
    <w:basedOn w:val="8"/>
    <w:qFormat/>
    <w:uiPriority w:val="0"/>
    <w:rPr>
      <w:rFonts w:hint="eastAsia" w:ascii="宋体" w:hAnsi="宋体" w:eastAsia="宋体" w:cs="宋体"/>
      <w:b/>
      <w:bCs/>
      <w:color w:val="000000"/>
      <w:sz w:val="22"/>
      <w:szCs w:val="22"/>
      <w:u w:val="none"/>
    </w:rPr>
  </w:style>
  <w:style w:type="character" w:customStyle="1" w:styleId="15">
    <w:name w:val="font11"/>
    <w:basedOn w:val="8"/>
    <w:qFormat/>
    <w:uiPriority w:val="0"/>
    <w:rPr>
      <w:rFonts w:hint="eastAsia" w:ascii="宋体" w:hAnsi="宋体" w:eastAsia="宋体" w:cs="宋体"/>
      <w:color w:val="000000"/>
      <w:sz w:val="22"/>
      <w:szCs w:val="22"/>
      <w:u w:val="none"/>
    </w:rPr>
  </w:style>
  <w:style w:type="character" w:customStyle="1" w:styleId="16">
    <w:name w:val="font41"/>
    <w:basedOn w:val="8"/>
    <w:qFormat/>
    <w:uiPriority w:val="0"/>
    <w:rPr>
      <w:rFonts w:hint="eastAsia" w:ascii="宋体" w:hAnsi="宋体" w:eastAsia="宋体" w:cs="宋体"/>
      <w:b/>
      <w:bCs/>
      <w:color w:val="000000"/>
      <w:sz w:val="20"/>
      <w:szCs w:val="20"/>
      <w:u w:val="none"/>
    </w:rPr>
  </w:style>
  <w:style w:type="character" w:customStyle="1" w:styleId="17">
    <w:name w:val="font2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9645</Words>
  <Characters>10073</Characters>
  <Lines>67</Lines>
  <Paragraphs>19</Paragraphs>
  <TotalTime>4</TotalTime>
  <ScaleCrop>false</ScaleCrop>
  <LinksUpToDate>false</LinksUpToDate>
  <CharactersWithSpaces>10165</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2025-09-05T04:41:00Z</dcterms:created>
  <dc:creator>CGB-ZZ</dc:creator>
  <cp:lastModifiedBy>郑震</cp:lastModifiedBy>
  <cp:lastPrinted>2025-12-02T01:13:00Z</cp:lastPrinted>
  <dcterms:modified xsi:type="dcterms:W3CDTF">2026-09-27T09:05:48Z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CDD0C46F7AE74FFC92512C8083D080C1</vt:lpwstr>
  </property>
  <property fmtid="{D5CDD505-2E9C-101B-9397-08002B2CF9AE}" pid="4" name="KSOTemplateDocerSaveRecord">
    <vt:lpwstr>eyJoZGlkIjoiMzQ3YzNlYjBkOTVkMzZhNzllNDkzYjI0NTZhZGUxNmIiLCJ1c2VySWQiOiI2MTE5Nzg3ODUifQ==</vt:lpwstr>
  </property>
</Properties>
</file>