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cs="Times New Roman" w:asciiTheme="minorEastAsia" w:hAnsiTheme="minorEastAsia"/>
          <w:b/>
          <w:bCs/>
          <w:sz w:val="36"/>
          <w:szCs w:val="36"/>
        </w:rPr>
      </w:pPr>
      <w:r>
        <w:rPr>
          <w:rFonts w:hint="eastAsia" w:asciiTheme="minorEastAsia" w:hAnsiTheme="minorEastAsia"/>
          <w:b/>
          <w:bCs/>
          <w:sz w:val="36"/>
          <w:szCs w:val="36"/>
        </w:rPr>
        <w:t>淮北矿业2020年度</w:t>
      </w:r>
      <w:r>
        <w:rPr>
          <w:rFonts w:hint="eastAsia" w:ascii="宋体" w:hAnsi="宋体" w:eastAsia="宋体" w:cs="Times New Roman"/>
          <w:b/>
          <w:sz w:val="36"/>
          <w:szCs w:val="36"/>
        </w:rPr>
        <w:t>操车系统配件</w:t>
      </w:r>
      <w:r>
        <w:rPr>
          <w:rFonts w:hint="eastAsia" w:asciiTheme="minorEastAsia" w:hAnsiTheme="minorEastAsia"/>
          <w:b/>
          <w:bCs/>
          <w:sz w:val="36"/>
          <w:szCs w:val="36"/>
        </w:rPr>
        <w:t>招标</w:t>
      </w:r>
      <w:r>
        <w:rPr>
          <w:rFonts w:hint="eastAsia" w:cs="Times New Roman" w:asciiTheme="minorEastAsia" w:hAnsiTheme="minorEastAsia"/>
          <w:b/>
          <w:bCs/>
          <w:sz w:val="36"/>
          <w:szCs w:val="36"/>
        </w:rPr>
        <w:t>技术规格书</w:t>
      </w:r>
    </w:p>
    <w:p>
      <w:pPr>
        <w:adjustRightInd w:val="0"/>
        <w:spacing w:line="460" w:lineRule="exact"/>
        <w:rPr>
          <w:rFonts w:ascii="黑体" w:hAnsi="Times New Roman" w:eastAsia="黑体" w:cs="黑体"/>
          <w:sz w:val="32"/>
          <w:szCs w:val="32"/>
        </w:rPr>
      </w:pPr>
      <w:r>
        <w:rPr>
          <w:rFonts w:hint="eastAsia" w:ascii="黑体" w:hAnsi="Times New Roman" w:eastAsia="黑体" w:cs="黑体"/>
          <w:sz w:val="32"/>
          <w:szCs w:val="32"/>
        </w:rPr>
        <w:t>一、采购单位</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淮北矿业股份有限公司</w:t>
      </w:r>
    </w:p>
    <w:p>
      <w:pPr>
        <w:adjustRightInd w:val="0"/>
        <w:spacing w:line="460" w:lineRule="exact"/>
        <w:rPr>
          <w:rFonts w:ascii="黑体" w:hAnsi="Times New Roman" w:eastAsia="黑体" w:cs="黑体"/>
          <w:sz w:val="32"/>
          <w:szCs w:val="32"/>
        </w:rPr>
      </w:pPr>
      <w:r>
        <w:rPr>
          <w:rFonts w:hint="eastAsia" w:ascii="黑体" w:hAnsi="Times New Roman" w:eastAsia="黑体" w:cs="黑体"/>
          <w:sz w:val="32"/>
          <w:szCs w:val="32"/>
        </w:rPr>
        <w:t>二、采购内容</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1.本次采购数量：本次招标采购物资的数量作为报价依据。物资采购数量及供货时间，按淮北矿业股份有限公司实际计划安排执行。</w:t>
      </w:r>
    </w:p>
    <w:p>
      <w:pPr>
        <w:tabs>
          <w:tab w:val="left" w:pos="3270"/>
        </w:tabs>
        <w:spacing w:line="560" w:lineRule="exact"/>
        <w:ind w:firstLine="640" w:firstLineChars="200"/>
        <w:rPr>
          <w:rFonts w:hint="eastAsia" w:ascii="仿宋_GB2312" w:hAnsi="宋体" w:eastAsia="仿宋_GB2312" w:cs="仿宋_GB2312"/>
          <w:sz w:val="32"/>
          <w:szCs w:val="32"/>
        </w:rPr>
      </w:pPr>
      <w:r>
        <w:rPr>
          <w:rFonts w:hint="eastAsia" w:ascii="仿宋_GB2312" w:hAnsi="宋体" w:eastAsia="仿宋_GB2312" w:cs="仿宋_GB2312"/>
          <w:sz w:val="32"/>
          <w:szCs w:val="32"/>
        </w:rPr>
        <w:t>2.用途：用于各矿（厂）生产和运输。</w:t>
      </w:r>
    </w:p>
    <w:p>
      <w:pPr>
        <w:pStyle w:val="4"/>
        <w:rPr>
          <w:rFonts w:ascii="宋体" w:hAnsi="宋体" w:cs="仿宋_GB2312"/>
          <w:sz w:val="32"/>
          <w:szCs w:val="32"/>
        </w:rPr>
      </w:pPr>
      <w:bookmarkStart w:id="0" w:name="_GoBack"/>
      <w:bookmarkEnd w:id="0"/>
      <w:r>
        <w:rPr>
          <w:rFonts w:hint="eastAsia" w:ascii="宋体" w:hAnsi="宋体" w:cs="仿宋_GB2312"/>
          <w:sz w:val="32"/>
          <w:szCs w:val="32"/>
          <w:lang w:val="en-US" w:eastAsia="zh-CN"/>
        </w:rPr>
        <w:t>3.</w:t>
      </w:r>
      <w:r>
        <w:rPr>
          <w:rFonts w:hint="eastAsia" w:ascii="宋体" w:hAnsi="宋体" w:cs="仿宋_GB2312"/>
          <w:sz w:val="32"/>
          <w:szCs w:val="32"/>
        </w:rPr>
        <w:t>招标明细：见下表</w:t>
      </w:r>
    </w:p>
    <w:tbl>
      <w:tblPr>
        <w:tblW w:w="8355" w:type="dxa"/>
        <w:tblInd w:w="0" w:type="dxa"/>
        <w:shd w:val="clear"/>
        <w:tblLayout w:type="autofit"/>
        <w:tblCellMar>
          <w:top w:w="0" w:type="dxa"/>
          <w:left w:w="0" w:type="dxa"/>
          <w:bottom w:w="0" w:type="dxa"/>
          <w:right w:w="0" w:type="dxa"/>
        </w:tblCellMar>
      </w:tblPr>
      <w:tblGrid>
        <w:gridCol w:w="1935"/>
        <w:gridCol w:w="3285"/>
        <w:gridCol w:w="885"/>
        <w:gridCol w:w="2250"/>
      </w:tblGrid>
      <w:tr>
        <w:tblPrEx>
          <w:shd w:val="clear"/>
          <w:tblCellMar>
            <w:top w:w="0" w:type="dxa"/>
            <w:left w:w="0" w:type="dxa"/>
            <w:bottom w:w="0" w:type="dxa"/>
            <w:right w:w="0" w:type="dxa"/>
          </w:tblCellMar>
        </w:tblPrEx>
        <w:trPr>
          <w:trHeight w:val="360"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物资名称</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规格</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单位</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bdr w:val="none" w:color="auto" w:sz="0" w:space="0"/>
                <w:lang w:val="en-US" w:eastAsia="zh-CN" w:bidi="ar"/>
              </w:rPr>
              <w:t>数量</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QJBⅡ125-500mm</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4</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QJBII-φ125×400mm</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20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LIQG-φ80×250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200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QJB180×650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15</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GB200×600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30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QGB140×1600　　　　</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70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QJB100×1500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台</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30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QJBφ140-450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6</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QJBφ250-1000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6</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QGB2-250×1200－MT4</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10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QGB-100×400－B</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6</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QGBIIφ80×900-M14</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4</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LIQG-250×1400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4</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LIQG80-150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960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LIQG80-350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260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LIQG80-400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6</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LIQG80-500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30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LIQG80-700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5</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LIQG80-1000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4</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LIQG80-1200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40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LIQG80-1500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25</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LIQG80-1600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220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LIQG80-2000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50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LIQG80-3000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6</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LIQG80-3200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30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LIQG80-300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280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LIQG80-2400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30</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LIQG100×800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12</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LIQG100×2000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4</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LIQG125/32-330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4</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LIQG160×1600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6</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LIQG320×1000</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6</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QGBφ100×900　　　　</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2</w:t>
            </w:r>
          </w:p>
        </w:tc>
      </w:tr>
      <w:tr>
        <w:tblPrEx>
          <w:tblCellMar>
            <w:top w:w="0" w:type="dxa"/>
            <w:left w:w="0" w:type="dxa"/>
            <w:bottom w:w="0" w:type="dxa"/>
            <w:right w:w="0" w:type="dxa"/>
          </w:tblCellMar>
        </w:tblPrEx>
        <w:trPr>
          <w:trHeight w:val="285" w:hRule="atLeast"/>
        </w:trPr>
        <w:tc>
          <w:tcPr>
            <w:tcW w:w="193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气缸</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QGBφ125×250　　　　</w:t>
            </w:r>
          </w:p>
        </w:tc>
        <w:tc>
          <w:tcPr>
            <w:tcW w:w="8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件</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6</w:t>
            </w:r>
          </w:p>
        </w:tc>
      </w:tr>
      <w:tr>
        <w:tblPrEx>
          <w:tblCellMar>
            <w:top w:w="0" w:type="dxa"/>
            <w:left w:w="0" w:type="dxa"/>
            <w:bottom w:w="0" w:type="dxa"/>
            <w:right w:w="0"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气动控制系统</w:t>
            </w:r>
          </w:p>
        </w:tc>
        <w:tc>
          <w:tcPr>
            <w:tcW w:w="3285"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QDKLL-15</w:t>
            </w:r>
          </w:p>
        </w:tc>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套</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1400</w:t>
            </w:r>
          </w:p>
        </w:tc>
      </w:tr>
      <w:tr>
        <w:tblPrEx>
          <w:tblCellMar>
            <w:top w:w="0" w:type="dxa"/>
            <w:left w:w="0" w:type="dxa"/>
            <w:bottom w:w="0" w:type="dxa"/>
            <w:right w:w="0"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气管</w:t>
            </w:r>
          </w:p>
        </w:tc>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TPU φ8-100米</w:t>
            </w:r>
          </w:p>
        </w:tc>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根</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40</w:t>
            </w:r>
          </w:p>
        </w:tc>
      </w:tr>
      <w:tr>
        <w:tblPrEx>
          <w:tblCellMar>
            <w:top w:w="0" w:type="dxa"/>
            <w:left w:w="0" w:type="dxa"/>
            <w:bottom w:w="0" w:type="dxa"/>
            <w:right w:w="0"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气管</w:t>
            </w:r>
          </w:p>
        </w:tc>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TPU φ10-100米</w:t>
            </w:r>
          </w:p>
        </w:tc>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根</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200</w:t>
            </w:r>
          </w:p>
        </w:tc>
      </w:tr>
      <w:tr>
        <w:tblPrEx>
          <w:tblCellMar>
            <w:top w:w="0" w:type="dxa"/>
            <w:left w:w="0" w:type="dxa"/>
            <w:bottom w:w="0" w:type="dxa"/>
            <w:right w:w="0"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气管</w:t>
            </w:r>
          </w:p>
        </w:tc>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TPU φ12-100米</w:t>
            </w:r>
          </w:p>
        </w:tc>
        <w:tc>
          <w:tcPr>
            <w:tcW w:w="0" w:type="auto"/>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根</w:t>
            </w:r>
          </w:p>
        </w:tc>
        <w:tc>
          <w:tcPr>
            <w:tcW w:w="2250" w:type="dxa"/>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bdr w:val="none" w:color="auto" w:sz="0" w:space="0"/>
                <w:lang w:val="en-US" w:eastAsia="zh-CN" w:bidi="ar"/>
              </w:rPr>
              <w:t>1100</w:t>
            </w:r>
          </w:p>
        </w:tc>
      </w:tr>
    </w:tbl>
    <w:p>
      <w:pPr>
        <w:tabs>
          <w:tab w:val="left" w:pos="3270"/>
        </w:tabs>
        <w:spacing w:line="560" w:lineRule="exact"/>
        <w:ind w:firstLine="640" w:firstLineChars="200"/>
        <w:rPr>
          <w:rFonts w:hint="eastAsia" w:ascii="仿宋_GB2312" w:hAnsi="宋体" w:eastAsia="仿宋_GB2312" w:cs="仿宋_GB2312"/>
          <w:sz w:val="32"/>
          <w:szCs w:val="32"/>
        </w:rPr>
      </w:pPr>
    </w:p>
    <w:p>
      <w:pPr>
        <w:tabs>
          <w:tab w:val="left" w:pos="3270"/>
        </w:tabs>
        <w:spacing w:line="560" w:lineRule="exact"/>
        <w:rPr>
          <w:rFonts w:hint="eastAsia" w:ascii="仿宋_GB2312" w:hAnsi="宋体" w:eastAsia="仿宋_GB2312" w:cs="仿宋_GB2312"/>
          <w:sz w:val="32"/>
          <w:szCs w:val="32"/>
        </w:rPr>
      </w:pPr>
      <w:r>
        <w:rPr>
          <w:rFonts w:hint="eastAsia" w:ascii="黑体" w:hAnsi="Times New Roman" w:eastAsia="黑体" w:cs="黑体"/>
          <w:sz w:val="32"/>
          <w:szCs w:val="32"/>
        </w:rPr>
        <w:t>三、技术要求及主要技术参数</w:t>
      </w:r>
    </w:p>
    <w:p>
      <w:pPr>
        <w:spacing w:line="360" w:lineRule="auto"/>
        <w:rPr>
          <w:rFonts w:hint="eastAsia" w:ascii="仿宋" w:hAnsi="仿宋" w:eastAsia="仿宋" w:cs="仿宋"/>
          <w:b/>
          <w:sz w:val="32"/>
          <w:szCs w:val="32"/>
          <w:lang w:eastAsia="zh-CN"/>
        </w:rPr>
      </w:pPr>
      <w:r>
        <w:rPr>
          <w:rFonts w:hint="eastAsia" w:ascii="仿宋" w:hAnsi="仿宋" w:eastAsia="仿宋" w:cs="仿宋"/>
          <w:b/>
          <w:sz w:val="32"/>
          <w:szCs w:val="32"/>
          <w:lang w:val="en-US" w:eastAsia="zh-CN"/>
        </w:rPr>
        <w:t>(</w:t>
      </w:r>
      <w:r>
        <w:rPr>
          <w:rFonts w:hint="eastAsia" w:ascii="仿宋" w:hAnsi="仿宋" w:eastAsia="仿宋" w:cs="仿宋"/>
          <w:b/>
          <w:sz w:val="32"/>
          <w:szCs w:val="32"/>
          <w:lang w:eastAsia="zh-CN"/>
        </w:rPr>
        <w:t>一</w:t>
      </w:r>
      <w:r>
        <w:rPr>
          <w:rFonts w:hint="eastAsia" w:ascii="仿宋" w:hAnsi="仿宋" w:eastAsia="仿宋" w:cs="仿宋"/>
          <w:b/>
          <w:sz w:val="32"/>
          <w:szCs w:val="32"/>
          <w:lang w:val="en-US" w:eastAsia="zh-CN"/>
        </w:rPr>
        <w:t>)</w:t>
      </w:r>
      <w:r>
        <w:rPr>
          <w:rFonts w:hint="eastAsia" w:ascii="仿宋" w:hAnsi="仿宋" w:eastAsia="仿宋" w:cs="仿宋"/>
          <w:b/>
          <w:sz w:val="32"/>
          <w:szCs w:val="32"/>
          <w:lang w:eastAsia="zh-CN"/>
        </w:rPr>
        <w:t>、</w:t>
      </w:r>
      <w:r>
        <w:rPr>
          <w:rFonts w:hint="eastAsia" w:ascii="仿宋" w:hAnsi="仿宋" w:eastAsia="仿宋" w:cs="仿宋"/>
          <w:b/>
          <w:sz w:val="32"/>
          <w:szCs w:val="32"/>
        </w:rPr>
        <w:t>气缸相关技术要求</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1.</w:t>
      </w:r>
      <w:r>
        <w:rPr>
          <w:rFonts w:hint="eastAsia" w:ascii="仿宋" w:hAnsi="仿宋" w:eastAsia="仿宋" w:cs="仿宋"/>
          <w:b/>
          <w:sz w:val="32"/>
          <w:szCs w:val="32"/>
        </w:rPr>
        <w:t>执行标准：</w:t>
      </w:r>
    </w:p>
    <w:p>
      <w:pPr>
        <w:spacing w:line="360" w:lineRule="auto"/>
        <w:ind w:firstLine="320" w:firstLineChars="100"/>
        <w:rPr>
          <w:rFonts w:hint="eastAsia" w:ascii="仿宋" w:hAnsi="仿宋" w:eastAsia="仿宋" w:cs="仿宋"/>
          <w:b/>
          <w:color w:val="024471"/>
          <w:sz w:val="32"/>
          <w:szCs w:val="32"/>
          <w:shd w:val="clear" w:color="auto" w:fill="A0C8E4"/>
        </w:rPr>
      </w:pPr>
      <w:r>
        <w:rPr>
          <w:rFonts w:hint="eastAsia" w:ascii="仿宋" w:hAnsi="仿宋" w:eastAsia="仿宋" w:cs="仿宋"/>
          <w:sz w:val="32"/>
          <w:szCs w:val="32"/>
        </w:rPr>
        <w:t>GB/T17446-2012     流体传动系统及元件</w:t>
      </w:r>
    </w:p>
    <w:p>
      <w:pPr>
        <w:spacing w:line="360" w:lineRule="auto"/>
        <w:ind w:firstLine="320" w:firstLineChars="100"/>
        <w:rPr>
          <w:rFonts w:hint="eastAsia" w:ascii="仿宋" w:hAnsi="仿宋" w:eastAsia="仿宋" w:cs="仿宋"/>
          <w:sz w:val="32"/>
          <w:szCs w:val="32"/>
        </w:rPr>
      </w:pPr>
      <w:r>
        <w:rPr>
          <w:rFonts w:hint="eastAsia" w:ascii="仿宋" w:hAnsi="仿宋" w:eastAsia="仿宋" w:cs="仿宋"/>
          <w:sz w:val="32"/>
          <w:szCs w:val="32"/>
        </w:rPr>
        <w:t>JB/T5923-2013      气动气缸技术条件</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2</w:t>
      </w:r>
      <w:r>
        <w:rPr>
          <w:rFonts w:hint="eastAsia" w:ascii="仿宋" w:hAnsi="仿宋" w:eastAsia="仿宋" w:cs="仿宋"/>
          <w:b/>
          <w:sz w:val="32"/>
          <w:szCs w:val="32"/>
        </w:rPr>
        <w:t>.使用条件</w:t>
      </w:r>
    </w:p>
    <w:p>
      <w:pPr>
        <w:spacing w:line="360" w:lineRule="auto"/>
        <w:rPr>
          <w:rFonts w:hint="eastAsia" w:ascii="仿宋" w:hAnsi="仿宋" w:eastAsia="仿宋" w:cs="仿宋"/>
          <w:sz w:val="32"/>
          <w:szCs w:val="32"/>
        </w:rPr>
      </w:pPr>
      <w:r>
        <w:rPr>
          <w:rFonts w:hint="eastAsia" w:ascii="仿宋" w:hAnsi="仿宋" w:eastAsia="仿宋" w:cs="仿宋"/>
          <w:b/>
          <w:sz w:val="32"/>
          <w:szCs w:val="32"/>
          <w:lang w:val="en-US" w:eastAsia="zh-CN"/>
        </w:rPr>
        <w:t>2</w:t>
      </w:r>
      <w:r>
        <w:rPr>
          <w:rFonts w:hint="eastAsia" w:ascii="仿宋" w:hAnsi="仿宋" w:eastAsia="仿宋" w:cs="仿宋"/>
          <w:b/>
          <w:sz w:val="32"/>
          <w:szCs w:val="32"/>
        </w:rPr>
        <w:t>.1</w:t>
      </w:r>
      <w:r>
        <w:rPr>
          <w:rFonts w:hint="eastAsia" w:ascii="仿宋" w:hAnsi="仿宋" w:eastAsia="仿宋" w:cs="仿宋"/>
          <w:sz w:val="32"/>
          <w:szCs w:val="32"/>
        </w:rPr>
        <w:t>工作环境温度为-15ºC～60ºC。</w:t>
      </w:r>
    </w:p>
    <w:p>
      <w:pPr>
        <w:spacing w:line="360" w:lineRule="auto"/>
        <w:rPr>
          <w:rFonts w:hint="eastAsia" w:ascii="仿宋" w:hAnsi="仿宋" w:eastAsia="仿宋" w:cs="仿宋"/>
          <w:sz w:val="32"/>
          <w:szCs w:val="32"/>
        </w:rPr>
      </w:pPr>
      <w:r>
        <w:rPr>
          <w:rFonts w:hint="eastAsia" w:ascii="仿宋" w:hAnsi="仿宋" w:eastAsia="仿宋" w:cs="仿宋"/>
          <w:b/>
          <w:sz w:val="32"/>
          <w:szCs w:val="32"/>
          <w:lang w:val="en-US" w:eastAsia="zh-CN"/>
        </w:rPr>
        <w:t>2</w:t>
      </w:r>
      <w:r>
        <w:rPr>
          <w:rFonts w:hint="eastAsia" w:ascii="仿宋" w:hAnsi="仿宋" w:eastAsia="仿宋" w:cs="仿宋"/>
          <w:b/>
          <w:sz w:val="32"/>
          <w:szCs w:val="32"/>
        </w:rPr>
        <w:t xml:space="preserve">.2 </w:t>
      </w:r>
      <w:r>
        <w:rPr>
          <w:rFonts w:hint="eastAsia" w:ascii="仿宋" w:hAnsi="仿宋" w:eastAsia="仿宋" w:cs="仿宋"/>
          <w:sz w:val="32"/>
          <w:szCs w:val="32"/>
        </w:rPr>
        <w:t>工作介质为干净干燥压缩空气。</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3</w:t>
      </w:r>
      <w:r>
        <w:rPr>
          <w:rFonts w:hint="eastAsia" w:ascii="仿宋" w:hAnsi="仿宋" w:eastAsia="仿宋" w:cs="仿宋"/>
          <w:b/>
          <w:sz w:val="32"/>
          <w:szCs w:val="32"/>
        </w:rPr>
        <w:t>.1</w:t>
      </w:r>
      <w:r>
        <w:rPr>
          <w:rFonts w:hint="eastAsia" w:ascii="仿宋" w:hAnsi="仿宋" w:eastAsia="仿宋" w:cs="仿宋"/>
          <w:sz w:val="32"/>
          <w:szCs w:val="32"/>
        </w:rPr>
        <w:t xml:space="preserve"> 气缸的其推力、拉力、速度值的允差应为额定值的±10%，行程值允差±5mm。</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3</w:t>
      </w:r>
      <w:r>
        <w:rPr>
          <w:rFonts w:hint="eastAsia" w:ascii="仿宋" w:hAnsi="仿宋" w:eastAsia="仿宋" w:cs="仿宋"/>
          <w:b/>
          <w:sz w:val="32"/>
          <w:szCs w:val="32"/>
        </w:rPr>
        <w:t>.2试运行及行程</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气缸在无负载工况下启动，并全行程往复运动数次，完全排除气缸内的空气。此时测量活塞杆行程两极限位置的距离即得最大行程。</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3</w:t>
      </w:r>
      <w:r>
        <w:rPr>
          <w:rFonts w:hint="eastAsia" w:ascii="仿宋" w:hAnsi="仿宋" w:eastAsia="仿宋" w:cs="仿宋"/>
          <w:b/>
          <w:sz w:val="32"/>
          <w:szCs w:val="32"/>
        </w:rPr>
        <w:t>.3启动压力</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总装完毕的气缸必须进行启动压力试验，启动压力不得大于0.1MPa 。</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3</w:t>
      </w:r>
      <w:r>
        <w:rPr>
          <w:rFonts w:hint="eastAsia" w:ascii="仿宋" w:hAnsi="仿宋" w:eastAsia="仿宋" w:cs="仿宋"/>
          <w:b/>
          <w:sz w:val="32"/>
          <w:szCs w:val="32"/>
        </w:rPr>
        <w:t>.4 耐压性能</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气缸应能够承受住1.5倍的额定压力，机构各部件无损坏，并能正常运行。</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3</w:t>
      </w:r>
      <w:r>
        <w:rPr>
          <w:rFonts w:hint="eastAsia" w:ascii="仿宋" w:hAnsi="仿宋" w:eastAsia="仿宋" w:cs="仿宋"/>
          <w:b/>
          <w:sz w:val="32"/>
          <w:szCs w:val="32"/>
        </w:rPr>
        <w:t>.5 耐久性</w:t>
      </w:r>
    </w:p>
    <w:p>
      <w:pPr>
        <w:spacing w:line="360" w:lineRule="auto"/>
        <w:ind w:firstLine="640" w:firstLineChars="200"/>
        <w:rPr>
          <w:rFonts w:hint="eastAsia" w:ascii="仿宋" w:hAnsi="仿宋" w:eastAsia="仿宋" w:cs="仿宋"/>
          <w:sz w:val="32"/>
          <w:szCs w:val="32"/>
        </w:rPr>
      </w:pPr>
      <w:r>
        <w:rPr>
          <w:rFonts w:hint="eastAsia" w:ascii="仿宋" w:hAnsi="仿宋" w:eastAsia="仿宋" w:cs="仿宋"/>
          <w:sz w:val="32"/>
          <w:szCs w:val="32"/>
        </w:rPr>
        <w:t>在额定压力下，气缸以最高速度连续运行应不少于0.5小时，机构各部件无损坏，并能正常运行。</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3</w:t>
      </w:r>
      <w:r>
        <w:rPr>
          <w:rFonts w:hint="eastAsia" w:ascii="仿宋" w:hAnsi="仿宋" w:eastAsia="仿宋" w:cs="仿宋"/>
          <w:b/>
          <w:sz w:val="32"/>
          <w:szCs w:val="32"/>
        </w:rPr>
        <w:t>.6 密封性能</w:t>
      </w:r>
    </w:p>
    <w:p>
      <w:pPr>
        <w:spacing w:line="360" w:lineRule="auto"/>
        <w:rPr>
          <w:rFonts w:hint="eastAsia" w:ascii="仿宋" w:hAnsi="仿宋" w:eastAsia="仿宋" w:cs="仿宋"/>
          <w:sz w:val="32"/>
          <w:szCs w:val="32"/>
        </w:rPr>
      </w:pPr>
      <w:r>
        <w:rPr>
          <w:rFonts w:hint="eastAsia" w:ascii="仿宋" w:hAnsi="仿宋" w:eastAsia="仿宋" w:cs="仿宋"/>
          <w:sz w:val="32"/>
          <w:szCs w:val="32"/>
        </w:rPr>
        <w:t>气缸在满足耐压性和耐久性的同时，应无泄漏现象。</w:t>
      </w:r>
    </w:p>
    <w:p>
      <w:pPr>
        <w:spacing w:line="360" w:lineRule="auto"/>
        <w:rPr>
          <w:rFonts w:hint="eastAsia" w:ascii="仿宋" w:hAnsi="仿宋" w:eastAsia="仿宋" w:cs="仿宋"/>
          <w:sz w:val="32"/>
          <w:szCs w:val="32"/>
        </w:rPr>
      </w:pPr>
      <w:r>
        <w:rPr>
          <w:rFonts w:hint="eastAsia" w:ascii="仿宋" w:hAnsi="仿宋" w:eastAsia="仿宋" w:cs="仿宋"/>
          <w:b/>
          <w:sz w:val="32"/>
          <w:szCs w:val="32"/>
          <w:lang w:val="en-US" w:eastAsia="zh-CN"/>
        </w:rPr>
        <w:t>3</w:t>
      </w:r>
      <w:r>
        <w:rPr>
          <w:rFonts w:hint="eastAsia" w:ascii="仿宋" w:hAnsi="仿宋" w:eastAsia="仿宋" w:cs="仿宋"/>
          <w:b/>
          <w:sz w:val="32"/>
          <w:szCs w:val="32"/>
        </w:rPr>
        <w:t>.7 材质及安装方式要求</w:t>
      </w:r>
    </w:p>
    <w:p>
      <w:pPr>
        <w:spacing w:line="360" w:lineRule="auto"/>
        <w:ind w:firstLine="640" w:firstLineChars="200"/>
        <w:rPr>
          <w:rFonts w:hint="eastAsia" w:ascii="仿宋" w:hAnsi="仿宋" w:eastAsia="仿宋" w:cs="仿宋"/>
          <w:bCs/>
          <w:sz w:val="32"/>
          <w:szCs w:val="32"/>
        </w:rPr>
      </w:pPr>
      <w:r>
        <w:rPr>
          <w:rFonts w:hint="eastAsia" w:ascii="仿宋" w:hAnsi="仿宋" w:eastAsia="仿宋" w:cs="仿宋"/>
          <w:bCs/>
          <w:sz w:val="32"/>
          <w:szCs w:val="32"/>
        </w:rPr>
        <w:t>1)QGB、QJB、JB系列气缸为重型气缸，前后盖要求铸铁、缸筒选用20#、活塞杆选用45#及同等材质以上调质活塞杆。气缸气嘴要求与现场尺寸一直，以便于更换配件。招标文件中未显示安装方式的气缸请与使用单位联系，满足现场使用。</w:t>
      </w:r>
    </w:p>
    <w:p>
      <w:pPr>
        <w:spacing w:line="360" w:lineRule="auto"/>
        <w:ind w:firstLine="640" w:firstLineChars="200"/>
        <w:rPr>
          <w:rFonts w:hint="eastAsia" w:ascii="仿宋" w:hAnsi="仿宋" w:eastAsia="仿宋" w:cs="仿宋"/>
          <w:bCs/>
          <w:sz w:val="32"/>
          <w:szCs w:val="32"/>
        </w:rPr>
      </w:pPr>
      <w:r>
        <w:rPr>
          <w:rFonts w:hint="eastAsia" w:ascii="仿宋" w:hAnsi="仿宋" w:eastAsia="仿宋" w:cs="仿宋"/>
          <w:bCs/>
          <w:sz w:val="32"/>
          <w:szCs w:val="32"/>
        </w:rPr>
        <w:t>2)LIQG80-(800~3200)系列气缸要求配备后支架、前支架、前支架转换滑轮、气缸连接头滑轮及气缸接头等附件。未注明安装方式的请与使用单位联系，满足现场使用。</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4.</w:t>
      </w:r>
      <w:r>
        <w:rPr>
          <w:rFonts w:hint="eastAsia" w:ascii="仿宋" w:hAnsi="仿宋" w:eastAsia="仿宋" w:cs="仿宋"/>
          <w:b/>
          <w:sz w:val="32"/>
          <w:szCs w:val="32"/>
        </w:rPr>
        <w:t>出厂检验</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每台产品需经生产厂质量检验部门检验合格后方可出厂,并附有合格证。</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5.</w:t>
      </w:r>
      <w:r>
        <w:rPr>
          <w:rFonts w:hint="eastAsia" w:ascii="仿宋" w:hAnsi="仿宋" w:eastAsia="仿宋" w:cs="仿宋"/>
          <w:b/>
          <w:sz w:val="32"/>
          <w:szCs w:val="32"/>
        </w:rPr>
        <w:t>标志</w:t>
      </w:r>
    </w:p>
    <w:p>
      <w:pPr>
        <w:spacing w:line="360" w:lineRule="auto"/>
        <w:rPr>
          <w:rFonts w:hint="eastAsia" w:ascii="仿宋" w:hAnsi="仿宋" w:eastAsia="仿宋" w:cs="仿宋"/>
          <w:sz w:val="32"/>
          <w:szCs w:val="32"/>
        </w:rPr>
      </w:pPr>
      <w:r>
        <w:rPr>
          <w:rFonts w:hint="eastAsia" w:ascii="仿宋" w:hAnsi="仿宋" w:eastAsia="仿宋" w:cs="仿宋"/>
          <w:sz w:val="32"/>
          <w:szCs w:val="32"/>
        </w:rPr>
        <w:t>每台产品应在盖板上固定产品标牌。标牌内容：</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 xml:space="preserve">a  制造厂名称 </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 xml:space="preserve">b  产品名称 </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 xml:space="preserve">c  产品型号 </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 xml:space="preserve">d  制造日期及编号 </w:t>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e  产品主参数：如推（拉）力、速度、行程 </w:t>
      </w:r>
    </w:p>
    <w:p>
      <w:pPr>
        <w:spacing w:line="360" w:lineRule="auto"/>
        <w:jc w:val="both"/>
        <w:rPr>
          <w:rFonts w:hint="eastAsia" w:ascii="仿宋" w:hAnsi="仿宋" w:eastAsia="仿宋" w:cs="仿宋"/>
          <w:b/>
          <w:sz w:val="32"/>
          <w:szCs w:val="32"/>
        </w:rPr>
      </w:pPr>
      <w:r>
        <w:rPr>
          <w:rFonts w:hint="eastAsia" w:ascii="仿宋" w:hAnsi="仿宋" w:eastAsia="仿宋" w:cs="仿宋"/>
          <w:b/>
          <w:sz w:val="32"/>
          <w:szCs w:val="32"/>
          <w:lang w:val="en-US" w:eastAsia="zh-CN"/>
        </w:rPr>
        <w:t>(</w:t>
      </w:r>
      <w:r>
        <w:rPr>
          <w:rFonts w:hint="eastAsia" w:ascii="仿宋" w:hAnsi="仿宋" w:eastAsia="仿宋" w:cs="仿宋"/>
          <w:b/>
          <w:sz w:val="32"/>
          <w:szCs w:val="32"/>
          <w:lang w:eastAsia="zh-CN"/>
        </w:rPr>
        <w:t>二</w:t>
      </w:r>
      <w:r>
        <w:rPr>
          <w:rFonts w:hint="eastAsia" w:ascii="仿宋" w:hAnsi="仿宋" w:eastAsia="仿宋" w:cs="仿宋"/>
          <w:b/>
          <w:sz w:val="32"/>
          <w:szCs w:val="32"/>
          <w:lang w:val="en-US" w:eastAsia="zh-CN"/>
        </w:rPr>
        <w:t>)</w:t>
      </w:r>
      <w:r>
        <w:rPr>
          <w:rFonts w:hint="eastAsia" w:ascii="仿宋" w:hAnsi="仿宋" w:eastAsia="仿宋" w:cs="仿宋"/>
          <w:b/>
          <w:sz w:val="32"/>
          <w:szCs w:val="32"/>
          <w:lang w:eastAsia="zh-CN"/>
        </w:rPr>
        <w:t>、</w:t>
      </w:r>
      <w:r>
        <w:rPr>
          <w:rFonts w:hint="eastAsia" w:ascii="仿宋" w:hAnsi="仿宋" w:eastAsia="仿宋" w:cs="仿宋"/>
          <w:b/>
          <w:sz w:val="32"/>
          <w:szCs w:val="32"/>
        </w:rPr>
        <w:t>气动控制系统相关技术要求</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1</w:t>
      </w:r>
      <w:r>
        <w:rPr>
          <w:rFonts w:hint="eastAsia" w:ascii="仿宋" w:hAnsi="仿宋" w:eastAsia="仿宋" w:cs="仿宋"/>
          <w:b/>
          <w:sz w:val="32"/>
          <w:szCs w:val="32"/>
          <w:lang w:eastAsia="zh-CN"/>
        </w:rPr>
        <w:t>、</w:t>
      </w:r>
      <w:r>
        <w:rPr>
          <w:rFonts w:hint="eastAsia" w:ascii="仿宋" w:hAnsi="仿宋" w:eastAsia="仿宋" w:cs="仿宋"/>
          <w:b/>
          <w:sz w:val="32"/>
          <w:szCs w:val="32"/>
        </w:rPr>
        <w:t>使用条件</w:t>
      </w:r>
    </w:p>
    <w:p>
      <w:pPr>
        <w:spacing w:line="360" w:lineRule="auto"/>
        <w:rPr>
          <w:rFonts w:hint="eastAsia" w:ascii="仿宋" w:hAnsi="仿宋" w:eastAsia="仿宋" w:cs="仿宋"/>
          <w:sz w:val="32"/>
          <w:szCs w:val="32"/>
        </w:rPr>
      </w:pPr>
      <w:r>
        <w:rPr>
          <w:rFonts w:hint="eastAsia" w:ascii="仿宋" w:hAnsi="仿宋" w:eastAsia="仿宋" w:cs="仿宋"/>
          <w:b/>
          <w:sz w:val="32"/>
          <w:szCs w:val="32"/>
          <w:lang w:val="en-US" w:eastAsia="zh-CN"/>
        </w:rPr>
        <w:t>1</w:t>
      </w:r>
      <w:r>
        <w:rPr>
          <w:rFonts w:hint="eastAsia" w:ascii="仿宋" w:hAnsi="仿宋" w:eastAsia="仿宋" w:cs="仿宋"/>
          <w:b/>
          <w:sz w:val="32"/>
          <w:szCs w:val="32"/>
        </w:rPr>
        <w:t xml:space="preserve">.1 </w:t>
      </w:r>
      <w:r>
        <w:rPr>
          <w:rFonts w:hint="eastAsia" w:ascii="仿宋" w:hAnsi="仿宋" w:eastAsia="仿宋" w:cs="仿宋"/>
          <w:sz w:val="32"/>
          <w:szCs w:val="32"/>
        </w:rPr>
        <w:t>工作环境温度为-10ºC～80ºC。</w:t>
      </w:r>
    </w:p>
    <w:p>
      <w:pPr>
        <w:spacing w:line="360" w:lineRule="auto"/>
        <w:rPr>
          <w:rFonts w:hint="eastAsia" w:ascii="仿宋" w:hAnsi="仿宋" w:eastAsia="仿宋" w:cs="仿宋"/>
          <w:sz w:val="32"/>
          <w:szCs w:val="32"/>
        </w:rPr>
      </w:pPr>
      <w:r>
        <w:rPr>
          <w:rFonts w:hint="eastAsia" w:ascii="仿宋" w:hAnsi="仿宋" w:eastAsia="仿宋" w:cs="仿宋"/>
          <w:b/>
          <w:sz w:val="32"/>
          <w:szCs w:val="32"/>
          <w:lang w:val="en-US" w:eastAsia="zh-CN"/>
        </w:rPr>
        <w:t>1</w:t>
      </w:r>
      <w:r>
        <w:rPr>
          <w:rFonts w:hint="eastAsia" w:ascii="仿宋" w:hAnsi="仿宋" w:eastAsia="仿宋" w:cs="仿宋"/>
          <w:b/>
          <w:sz w:val="32"/>
          <w:szCs w:val="32"/>
        </w:rPr>
        <w:t xml:space="preserve">.2 </w:t>
      </w:r>
      <w:r>
        <w:rPr>
          <w:rFonts w:hint="eastAsia" w:ascii="仿宋" w:hAnsi="仿宋" w:eastAsia="仿宋" w:cs="仿宋"/>
          <w:sz w:val="32"/>
          <w:szCs w:val="32"/>
        </w:rPr>
        <w:t>工作介质为压缩空气。</w:t>
      </w:r>
    </w:p>
    <w:p>
      <w:pPr>
        <w:spacing w:line="360" w:lineRule="auto"/>
        <w:rPr>
          <w:rFonts w:hint="eastAsia" w:ascii="仿宋" w:hAnsi="仿宋" w:eastAsia="仿宋" w:cs="仿宋"/>
          <w:color w:val="333333"/>
          <w:sz w:val="32"/>
          <w:szCs w:val="32"/>
          <w:shd w:val="clear" w:color="auto" w:fill="FFFFFF"/>
        </w:rPr>
      </w:pPr>
      <w:r>
        <w:rPr>
          <w:rFonts w:hint="eastAsia" w:ascii="仿宋" w:hAnsi="仿宋" w:eastAsia="仿宋" w:cs="仿宋"/>
          <w:b/>
          <w:sz w:val="32"/>
          <w:szCs w:val="32"/>
          <w:lang w:val="en-US" w:eastAsia="zh-CN"/>
        </w:rPr>
        <w:t>1</w:t>
      </w:r>
      <w:r>
        <w:rPr>
          <w:rFonts w:hint="eastAsia" w:ascii="仿宋" w:hAnsi="仿宋" w:eastAsia="仿宋" w:cs="仿宋"/>
          <w:b/>
          <w:sz w:val="32"/>
          <w:szCs w:val="32"/>
        </w:rPr>
        <w:t xml:space="preserve">.3 </w:t>
      </w:r>
      <w:r>
        <w:rPr>
          <w:rFonts w:hint="eastAsia" w:ascii="仿宋" w:hAnsi="仿宋" w:eastAsia="仿宋" w:cs="仿宋"/>
          <w:sz w:val="32"/>
          <w:szCs w:val="32"/>
        </w:rPr>
        <w:t>气动控制系统的基本构成:组成的气动回路是为了驱动用于各种不同目的的机械装置，其最重要的组成部分包括:箱体、手动换向阀、自动排水三联件、气管、气动接头、压力表等部件。与生产装置相连接的各种类型的气动控制系统，靠气动方向控制阀实现对气动控制系统的运动方向、输出力的大小、速度的控制。</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2</w:t>
      </w:r>
      <w:r>
        <w:rPr>
          <w:rFonts w:hint="eastAsia" w:ascii="仿宋" w:hAnsi="仿宋" w:eastAsia="仿宋" w:cs="仿宋"/>
          <w:b/>
          <w:sz w:val="32"/>
          <w:szCs w:val="32"/>
        </w:rPr>
        <w:t>.试运行及行程</w:t>
      </w:r>
    </w:p>
    <w:p>
      <w:pPr>
        <w:spacing w:line="360" w:lineRule="auto"/>
        <w:ind w:firstLine="420"/>
        <w:rPr>
          <w:rFonts w:hint="eastAsia" w:ascii="仿宋" w:hAnsi="仿宋" w:eastAsia="仿宋" w:cs="仿宋"/>
          <w:sz w:val="32"/>
          <w:szCs w:val="32"/>
        </w:rPr>
      </w:pPr>
      <w:r>
        <w:rPr>
          <w:rFonts w:hint="eastAsia" w:ascii="仿宋" w:hAnsi="仿宋" w:eastAsia="仿宋" w:cs="仿宋"/>
          <w:sz w:val="32"/>
          <w:szCs w:val="32"/>
        </w:rPr>
        <w:t>气动控制系统在无负载工况下启动，并对执行元件全行程往复运动数次，完全排除执行元件如气缸的空气。在实验过程中没有漏气现象。</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气动控制系统应能够承受住1.5倍的额定压力，机构各部件无损坏、无漏气，并能正常运行。</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3</w:t>
      </w:r>
      <w:r>
        <w:rPr>
          <w:rFonts w:hint="eastAsia" w:ascii="仿宋" w:hAnsi="仿宋" w:eastAsia="仿宋" w:cs="仿宋"/>
          <w:b/>
          <w:sz w:val="32"/>
          <w:szCs w:val="32"/>
        </w:rPr>
        <w:t>.主要零部件要求</w:t>
      </w:r>
    </w:p>
    <w:p>
      <w:pPr>
        <w:spacing w:line="360" w:lineRule="auto"/>
        <w:rPr>
          <w:rFonts w:hint="eastAsia" w:ascii="仿宋" w:hAnsi="仿宋" w:eastAsia="仿宋" w:cs="仿宋"/>
          <w:bCs/>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.1</w:t>
      </w:r>
      <w:r>
        <w:rPr>
          <w:rFonts w:hint="eastAsia" w:ascii="仿宋" w:hAnsi="仿宋" w:eastAsia="仿宋" w:cs="仿宋"/>
          <w:bCs/>
          <w:sz w:val="32"/>
          <w:szCs w:val="32"/>
        </w:rPr>
        <w:t>气动控制系统主要组成部分包括箱体、手动换向阀、自动排水三联件、气管、气动接头、压力表等部件，为了实现配件更换对配件做一下要求：</w:t>
      </w:r>
    </w:p>
    <w:p>
      <w:pPr>
        <w:spacing w:line="360" w:lineRule="auto"/>
        <w:rPr>
          <w:rFonts w:hint="eastAsia" w:ascii="仿宋" w:hAnsi="仿宋" w:eastAsia="仿宋" w:cs="仿宋"/>
          <w:bCs/>
          <w:sz w:val="32"/>
          <w:szCs w:val="32"/>
        </w:rPr>
      </w:pPr>
      <w:r>
        <w:rPr>
          <w:rFonts w:hint="eastAsia" w:ascii="仿宋" w:hAnsi="仿宋" w:eastAsia="仿宋" w:cs="仿宋"/>
          <w:bCs/>
          <w:sz w:val="32"/>
          <w:szCs w:val="32"/>
        </w:rPr>
        <w:t>1)箱体外形尺寸300*300-150 安装孔在箱体外,安装眼距250*320。</w:t>
      </w:r>
    </w:p>
    <w:p>
      <w:pPr>
        <w:spacing w:line="360" w:lineRule="auto"/>
        <w:rPr>
          <w:rFonts w:hint="eastAsia" w:ascii="仿宋" w:hAnsi="仿宋" w:eastAsia="仿宋" w:cs="仿宋"/>
          <w:bCs/>
          <w:sz w:val="32"/>
          <w:szCs w:val="32"/>
        </w:rPr>
      </w:pPr>
      <w:r>
        <w:rPr>
          <w:rFonts w:hint="eastAsia" w:ascii="仿宋" w:hAnsi="仿宋" w:eastAsia="仿宋" w:cs="仿宋"/>
          <w:bCs/>
          <w:sz w:val="32"/>
          <w:szCs w:val="32"/>
        </w:rPr>
        <w:t>2)手动换向阀要求选用HV-04  接口为1/2。</w:t>
      </w:r>
    </w:p>
    <w:p>
      <w:pPr>
        <w:spacing w:line="360" w:lineRule="auto"/>
        <w:rPr>
          <w:rFonts w:hint="eastAsia" w:ascii="仿宋" w:hAnsi="仿宋" w:eastAsia="仿宋" w:cs="仿宋"/>
          <w:bCs/>
          <w:sz w:val="32"/>
          <w:szCs w:val="32"/>
        </w:rPr>
      </w:pPr>
      <w:r>
        <w:rPr>
          <w:rFonts w:hint="eastAsia" w:ascii="仿宋" w:hAnsi="仿宋" w:eastAsia="仿宋" w:cs="仿宋"/>
          <w:bCs/>
          <w:sz w:val="32"/>
          <w:szCs w:val="32"/>
        </w:rPr>
        <w:t>3)三联件具备自动排水功能。</w:t>
      </w:r>
    </w:p>
    <w:p>
      <w:pPr>
        <w:spacing w:line="360" w:lineRule="auto"/>
        <w:rPr>
          <w:rFonts w:hint="eastAsia" w:ascii="仿宋" w:hAnsi="仿宋" w:eastAsia="仿宋" w:cs="仿宋"/>
          <w:bCs/>
          <w:sz w:val="32"/>
          <w:szCs w:val="32"/>
        </w:rPr>
      </w:pPr>
      <w:r>
        <w:rPr>
          <w:rFonts w:hint="eastAsia" w:ascii="仿宋" w:hAnsi="仿宋" w:eastAsia="仿宋" w:cs="仿宋"/>
          <w:bCs/>
          <w:sz w:val="32"/>
          <w:szCs w:val="32"/>
        </w:rPr>
        <w:t>4)气动控制系统内部接口统一为1/2。</w:t>
      </w:r>
    </w:p>
    <w:p>
      <w:pPr>
        <w:spacing w:line="360" w:lineRule="auto"/>
        <w:rPr>
          <w:rFonts w:hint="eastAsia" w:ascii="仿宋" w:hAnsi="仿宋" w:eastAsia="仿宋" w:cs="仿宋"/>
          <w:bCs/>
          <w:sz w:val="32"/>
          <w:szCs w:val="32"/>
        </w:rPr>
      </w:pPr>
      <w:r>
        <w:rPr>
          <w:rFonts w:hint="eastAsia" w:ascii="仿宋" w:hAnsi="仿宋" w:eastAsia="仿宋" w:cs="仿宋"/>
          <w:bCs/>
          <w:sz w:val="32"/>
          <w:szCs w:val="32"/>
        </w:rPr>
        <w:t>5)具有压力显示。</w:t>
      </w:r>
    </w:p>
    <w:p>
      <w:pPr>
        <w:spacing w:line="360" w:lineRule="auto"/>
        <w:rPr>
          <w:rFonts w:hint="eastAsia" w:ascii="仿宋" w:hAnsi="仿宋" w:eastAsia="仿宋" w:cs="仿宋"/>
          <w:bCs/>
          <w:sz w:val="32"/>
          <w:szCs w:val="32"/>
        </w:rPr>
      </w:pPr>
      <w:r>
        <w:rPr>
          <w:rFonts w:hint="eastAsia" w:ascii="仿宋" w:hAnsi="仿宋" w:eastAsia="仿宋" w:cs="仿宋"/>
          <w:bCs/>
          <w:sz w:val="32"/>
          <w:szCs w:val="32"/>
        </w:rPr>
        <w:t>6)具有明显的进气口、排气口标志。</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4.</w:t>
      </w:r>
      <w:r>
        <w:rPr>
          <w:rFonts w:hint="eastAsia" w:ascii="仿宋" w:hAnsi="仿宋" w:eastAsia="仿宋" w:cs="仿宋"/>
          <w:b/>
          <w:sz w:val="32"/>
          <w:szCs w:val="32"/>
        </w:rPr>
        <w:t>出厂检验</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每台产品需经生产厂质量检验部门检验合格后方可出厂,并附有合格证。</w:t>
      </w:r>
    </w:p>
    <w:p>
      <w:pPr>
        <w:spacing w:line="360" w:lineRule="auto"/>
        <w:rPr>
          <w:rFonts w:hint="eastAsia" w:ascii="仿宋" w:hAnsi="仿宋" w:eastAsia="仿宋" w:cs="仿宋"/>
          <w:b/>
          <w:sz w:val="32"/>
          <w:szCs w:val="32"/>
        </w:rPr>
      </w:pPr>
      <w:r>
        <w:rPr>
          <w:rFonts w:hint="eastAsia" w:ascii="仿宋" w:hAnsi="仿宋" w:eastAsia="仿宋" w:cs="仿宋"/>
          <w:b/>
          <w:sz w:val="32"/>
          <w:szCs w:val="32"/>
          <w:lang w:val="en-US" w:eastAsia="zh-CN"/>
        </w:rPr>
        <w:t>5.</w:t>
      </w:r>
      <w:r>
        <w:rPr>
          <w:rFonts w:hint="eastAsia" w:ascii="仿宋" w:hAnsi="仿宋" w:eastAsia="仿宋" w:cs="仿宋"/>
          <w:b/>
          <w:sz w:val="32"/>
          <w:szCs w:val="32"/>
        </w:rPr>
        <w:t>标志</w:t>
      </w:r>
    </w:p>
    <w:p>
      <w:pPr>
        <w:spacing w:line="360" w:lineRule="auto"/>
        <w:rPr>
          <w:rFonts w:hint="eastAsia" w:ascii="仿宋" w:hAnsi="仿宋" w:eastAsia="仿宋" w:cs="仿宋"/>
          <w:sz w:val="32"/>
          <w:szCs w:val="32"/>
        </w:rPr>
      </w:pPr>
      <w:r>
        <w:rPr>
          <w:rFonts w:hint="eastAsia" w:ascii="仿宋" w:hAnsi="仿宋" w:eastAsia="仿宋" w:cs="仿宋"/>
          <w:sz w:val="32"/>
          <w:szCs w:val="32"/>
        </w:rPr>
        <w:t>每台产品应在盖板上固定产品标牌。标牌内容：</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 xml:space="preserve">a  制造厂名称 </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 xml:space="preserve">b  产品名称 </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 xml:space="preserve">c  产品型号 </w:t>
      </w:r>
    </w:p>
    <w:p>
      <w:pPr>
        <w:spacing w:line="360" w:lineRule="auto"/>
        <w:ind w:firstLine="435"/>
        <w:rPr>
          <w:rFonts w:hint="eastAsia" w:ascii="仿宋" w:hAnsi="仿宋" w:eastAsia="仿宋" w:cs="仿宋"/>
          <w:sz w:val="32"/>
          <w:szCs w:val="32"/>
        </w:rPr>
      </w:pPr>
      <w:r>
        <w:rPr>
          <w:rFonts w:hint="eastAsia" w:ascii="仿宋" w:hAnsi="仿宋" w:eastAsia="仿宋" w:cs="仿宋"/>
          <w:sz w:val="32"/>
          <w:szCs w:val="32"/>
        </w:rPr>
        <w:t xml:space="preserve">d  制造日期及编号 </w:t>
      </w:r>
    </w:p>
    <w:p>
      <w:pPr>
        <w:numPr>
          <w:ilvl w:val="0"/>
          <w:numId w:val="0"/>
        </w:numPr>
        <w:spacing w:line="360" w:lineRule="auto"/>
        <w:rPr>
          <w:rFonts w:hint="eastAsia" w:ascii="仿宋" w:hAnsi="仿宋" w:eastAsia="仿宋" w:cs="仿宋"/>
          <w:sz w:val="32"/>
          <w:szCs w:val="32"/>
        </w:rPr>
      </w:pPr>
      <w:r>
        <w:rPr>
          <w:rFonts w:hint="eastAsia" w:ascii="仿宋" w:hAnsi="仿宋" w:eastAsia="仿宋" w:cs="仿宋"/>
          <w:b/>
          <w:sz w:val="32"/>
          <w:szCs w:val="32"/>
          <w:lang w:val="en-US" w:eastAsia="zh-CN"/>
        </w:rPr>
        <w:t>(三）</w:t>
      </w:r>
      <w:r>
        <w:rPr>
          <w:rFonts w:hint="eastAsia" w:ascii="仿宋" w:hAnsi="仿宋" w:eastAsia="仿宋" w:cs="仿宋"/>
          <w:b/>
          <w:sz w:val="32"/>
          <w:szCs w:val="32"/>
          <w:lang w:eastAsia="zh-CN"/>
        </w:rPr>
        <w:t>、</w:t>
      </w:r>
      <w:r>
        <w:rPr>
          <w:rFonts w:hint="eastAsia" w:ascii="仿宋" w:hAnsi="仿宋" w:eastAsia="仿宋" w:cs="仿宋"/>
          <w:b/>
          <w:sz w:val="32"/>
          <w:szCs w:val="32"/>
        </w:rPr>
        <w:t>气管的材质要求：</w:t>
      </w:r>
      <w:r>
        <w:rPr>
          <w:rFonts w:hint="eastAsia" w:ascii="仿宋" w:hAnsi="仿宋" w:eastAsia="仿宋" w:cs="仿宋"/>
          <w:sz w:val="32"/>
          <w:szCs w:val="32"/>
        </w:rPr>
        <w:t>产品的原材料为聚氨酯</w:t>
      </w:r>
    </w:p>
    <w:p>
      <w:pPr>
        <w:spacing w:line="560" w:lineRule="exact"/>
        <w:rPr>
          <w:rFonts w:ascii="黑体" w:hAnsi="Times New Roman" w:eastAsia="黑体" w:cs="黑体"/>
          <w:sz w:val="32"/>
          <w:szCs w:val="32"/>
        </w:rPr>
      </w:pPr>
      <w:r>
        <w:rPr>
          <w:rFonts w:hint="eastAsia" w:ascii="黑体" w:hAnsi="Times New Roman" w:eastAsia="黑体" w:cs="黑体"/>
          <w:sz w:val="32"/>
          <w:szCs w:val="32"/>
        </w:rPr>
        <w:t>四、包装、运输、储存及验收</w:t>
      </w:r>
    </w:p>
    <w:p>
      <w:pPr>
        <w:tabs>
          <w:tab w:val="left" w:pos="3270"/>
        </w:tabs>
        <w:spacing w:line="560" w:lineRule="exact"/>
        <w:ind w:firstLine="640" w:firstLineChars="200"/>
        <w:rPr>
          <w:rFonts w:ascii="仿宋_GB2312" w:hAnsi="宋体" w:eastAsia="仿宋_GB2312" w:cs="仿宋_GB2312"/>
          <w:sz w:val="32"/>
          <w:szCs w:val="32"/>
        </w:rPr>
      </w:pPr>
      <w:r>
        <w:rPr>
          <w:rFonts w:ascii="仿宋_GB2312" w:hAnsi="宋体" w:eastAsia="仿宋_GB2312" w:cs="仿宋_GB2312"/>
          <w:sz w:val="32"/>
          <w:szCs w:val="32"/>
        </w:rPr>
        <w:t>1</w:t>
      </w:r>
      <w:r>
        <w:rPr>
          <w:rFonts w:hint="eastAsia" w:ascii="仿宋_GB2312" w:hAnsi="宋体" w:eastAsia="仿宋_GB2312" w:cs="仿宋_GB2312"/>
          <w:sz w:val="32"/>
          <w:szCs w:val="32"/>
        </w:rPr>
        <w:t>.投标人必须按最新国家标准要求包装设计和提供合适的包装，确保其不受损坏。</w:t>
      </w:r>
    </w:p>
    <w:p>
      <w:pPr>
        <w:tabs>
          <w:tab w:val="left" w:pos="3270"/>
        </w:tabs>
        <w:spacing w:line="560" w:lineRule="exact"/>
        <w:ind w:firstLine="640" w:firstLineChars="200"/>
        <w:rPr>
          <w:rFonts w:ascii="仿宋_GB2312" w:hAnsi="宋体" w:eastAsia="仿宋_GB2312" w:cs="仿宋_GB2312"/>
          <w:sz w:val="32"/>
          <w:szCs w:val="32"/>
        </w:rPr>
      </w:pPr>
      <w:r>
        <w:rPr>
          <w:rFonts w:ascii="仿宋_GB2312" w:hAnsi="宋体" w:eastAsia="仿宋_GB2312" w:cs="仿宋_GB2312"/>
          <w:sz w:val="32"/>
          <w:szCs w:val="32"/>
        </w:rPr>
        <w:t>2</w:t>
      </w:r>
      <w:r>
        <w:rPr>
          <w:rFonts w:hint="eastAsia" w:ascii="仿宋_GB2312" w:hAnsi="宋体" w:eastAsia="仿宋_GB2312" w:cs="仿宋_GB2312"/>
          <w:sz w:val="32"/>
          <w:szCs w:val="32"/>
        </w:rPr>
        <w:t>.物资的包装、防护要确保物资便于运输和储存，显著位置标明发货单位和地点等，并有包装储运标志。且在运输和装卸过程中不致遭到丢失、损坏、变形和腐蚀。</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3.所供应的产品必须提供产品合格证、送货清单等。</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4.投标方必须提供投标产品最新第三方权威部门的质量检验合格报告作为中标后的检验依据。</w:t>
      </w:r>
    </w:p>
    <w:p>
      <w:pPr>
        <w:spacing w:line="560" w:lineRule="exact"/>
        <w:ind w:firstLine="640" w:firstLineChars="200"/>
        <w:rPr>
          <w:rFonts w:ascii="黑体" w:hAnsi="Times New Roman" w:eastAsia="黑体" w:cs="黑体"/>
          <w:sz w:val="32"/>
          <w:szCs w:val="32"/>
        </w:rPr>
      </w:pPr>
      <w:r>
        <w:rPr>
          <w:rFonts w:hint="eastAsia" w:ascii="黑体" w:hAnsi="Times New Roman" w:eastAsia="黑体" w:cs="黑体"/>
          <w:sz w:val="32"/>
          <w:szCs w:val="32"/>
        </w:rPr>
        <w:t>五、</w:t>
      </w:r>
      <w:r>
        <w:rPr>
          <w:rFonts w:ascii="黑体" w:hAnsi="Times New Roman" w:eastAsia="黑体" w:cs="黑体"/>
          <w:sz w:val="32"/>
          <w:szCs w:val="32"/>
        </w:rPr>
        <w:t>“</w:t>
      </w:r>
      <w:r>
        <w:rPr>
          <w:rFonts w:hint="eastAsia" w:ascii="黑体" w:hAnsi="Times New Roman" w:eastAsia="黑体" w:cs="黑体"/>
          <w:sz w:val="32"/>
          <w:szCs w:val="32"/>
        </w:rPr>
        <w:t>三包</w:t>
      </w:r>
      <w:r>
        <w:rPr>
          <w:rFonts w:ascii="黑体" w:hAnsi="Times New Roman" w:eastAsia="黑体" w:cs="黑体"/>
          <w:sz w:val="32"/>
          <w:szCs w:val="32"/>
        </w:rPr>
        <w:t>”</w:t>
      </w:r>
      <w:r>
        <w:rPr>
          <w:rFonts w:hint="eastAsia" w:ascii="黑体" w:hAnsi="Times New Roman" w:eastAsia="黑体" w:cs="黑体"/>
          <w:sz w:val="32"/>
          <w:szCs w:val="32"/>
        </w:rPr>
        <w:t>要求</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除国家另有专门规定、招标文件有特殊要求或投标方有优惠条件外，要求使用12个月之内实行“三包”。</w:t>
      </w:r>
    </w:p>
    <w:p>
      <w:pPr>
        <w:spacing w:line="560" w:lineRule="exact"/>
        <w:ind w:firstLine="640" w:firstLineChars="200"/>
        <w:rPr>
          <w:rFonts w:ascii="黑体" w:hAnsi="Times New Roman" w:eastAsia="黑体" w:cs="黑体"/>
          <w:sz w:val="32"/>
          <w:szCs w:val="32"/>
        </w:rPr>
      </w:pPr>
      <w:r>
        <w:rPr>
          <w:rFonts w:hint="eastAsia" w:ascii="黑体" w:hAnsi="Times New Roman" w:eastAsia="黑体" w:cs="黑体"/>
          <w:sz w:val="32"/>
          <w:szCs w:val="32"/>
        </w:rPr>
        <w:t>六、售后服务</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按投标书承诺及国家标准执行。</w:t>
      </w:r>
    </w:p>
    <w:p>
      <w:pPr>
        <w:spacing w:line="560" w:lineRule="exact"/>
        <w:ind w:firstLine="640" w:firstLineChars="200"/>
        <w:rPr>
          <w:rFonts w:ascii="黑体" w:hAnsi="Times New Roman" w:eastAsia="黑体" w:cs="Times New Roman"/>
          <w:sz w:val="32"/>
          <w:szCs w:val="32"/>
        </w:rPr>
      </w:pPr>
      <w:r>
        <w:rPr>
          <w:rFonts w:hint="eastAsia" w:ascii="黑体" w:hAnsi="Times New Roman" w:eastAsia="黑体" w:cs="黑体"/>
          <w:sz w:val="32"/>
          <w:szCs w:val="32"/>
        </w:rPr>
        <w:t>七、供货时间及地点</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交货时间：</w:t>
      </w:r>
      <w:r>
        <w:rPr>
          <w:rFonts w:hint="eastAsia" w:ascii="仿宋_GB2312" w:hAnsi="Times New Roman" w:eastAsia="仿宋_GB2312" w:cs="Times New Roman"/>
          <w:sz w:val="32"/>
          <w:szCs w:val="32"/>
        </w:rPr>
        <w:t>按计划通知发货。</w:t>
      </w:r>
      <w:r>
        <w:rPr>
          <w:rFonts w:hint="eastAsia" w:ascii="仿宋_GB2312" w:hAnsi="宋体" w:eastAsia="仿宋_GB2312" w:cs="Times New Roman"/>
          <w:color w:val="000000" w:themeColor="text1"/>
          <w:sz w:val="32"/>
          <w:szCs w:val="32"/>
          <w14:textFill>
            <w14:solidFill>
              <w14:schemeClr w14:val="tx1"/>
            </w14:solidFill>
          </w14:textFill>
        </w:rPr>
        <w:t>合同签订</w:t>
      </w:r>
      <w:r>
        <w:rPr>
          <w:rFonts w:hint="eastAsia" w:ascii="仿宋_GB2312" w:hAnsi="宋体" w:eastAsia="仿宋_GB2312" w:cs="Times New Roman"/>
          <w:color w:val="000000" w:themeColor="text1"/>
          <w:sz w:val="32"/>
          <w:szCs w:val="32"/>
          <w:lang w:eastAsia="zh-CN"/>
          <w14:textFill>
            <w14:solidFill>
              <w14:schemeClr w14:val="tx1"/>
            </w14:solidFill>
          </w14:textFill>
        </w:rPr>
        <w:t>生效</w:t>
      </w:r>
      <w:r>
        <w:rPr>
          <w:rFonts w:hint="eastAsia" w:ascii="仿宋_GB2312" w:hAnsi="宋体" w:eastAsia="仿宋_GB2312" w:cs="Times New Roman"/>
          <w:color w:val="000000" w:themeColor="text1"/>
          <w:sz w:val="32"/>
          <w:szCs w:val="32"/>
          <w14:textFill>
            <w14:solidFill>
              <w14:schemeClr w14:val="tx1"/>
            </w14:solidFill>
          </w14:textFill>
        </w:rPr>
        <w:t>后30天内。</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交货地点：</w:t>
      </w:r>
      <w:r>
        <w:rPr>
          <w:rFonts w:hint="eastAsia" w:ascii="仿宋_GB2312" w:hAnsi="Times New Roman" w:eastAsia="仿宋_GB2312" w:cs="Times New Roman"/>
          <w:color w:val="000000" w:themeColor="text1"/>
          <w:sz w:val="32"/>
          <w:szCs w:val="32"/>
          <w14:textFill>
            <w14:solidFill>
              <w14:schemeClr w14:val="tx1"/>
            </w14:solidFill>
          </w14:textFill>
        </w:rPr>
        <w:t>淮北矿业股份有限公司物资分公司仓储配送中心或下属各矿（厂）仓库。</w:t>
      </w:r>
    </w:p>
    <w:p>
      <w:pPr>
        <w:spacing w:line="560" w:lineRule="exact"/>
        <w:ind w:firstLine="640" w:firstLineChars="200"/>
        <w:rPr>
          <w:rFonts w:ascii="黑体" w:hAnsi="Times New Roman" w:eastAsia="黑体" w:cs="黑体"/>
          <w:sz w:val="32"/>
          <w:szCs w:val="32"/>
        </w:rPr>
      </w:pPr>
      <w:r>
        <w:rPr>
          <w:rFonts w:hint="eastAsia" w:ascii="黑体" w:hAnsi="Times New Roman" w:eastAsia="黑体" w:cs="黑体"/>
          <w:sz w:val="32"/>
          <w:szCs w:val="32"/>
        </w:rPr>
        <w:t>八、违约责任及解决办法</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中标人有以下行为属违约，招标人有权对中标人进行追偿：</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1.双方严格执行合同约定，如有纠纷按合同条款规定进行解决。</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2.中标人不能按照合同要求履约，一次暂停供应商资格三个月；二次暂停供应商资格六个月；三次取消供应商资格，造成恶劣影响的，一次即取消供应商资格。</w:t>
      </w:r>
    </w:p>
    <w:p>
      <w:pPr>
        <w:tabs>
          <w:tab w:val="left" w:pos="3270"/>
        </w:tabs>
        <w:spacing w:line="560" w:lineRule="exact"/>
        <w:ind w:firstLine="640" w:firstLineChars="200"/>
        <w:rPr>
          <w:rFonts w:ascii="仿宋_GB2312" w:hAnsi="宋体" w:eastAsia="仿宋_GB2312" w:cs="仿宋_GB2312"/>
          <w:sz w:val="32"/>
          <w:szCs w:val="32"/>
        </w:rPr>
      </w:pPr>
      <w:r>
        <w:rPr>
          <w:rFonts w:hint="eastAsia" w:ascii="仿宋_GB2312" w:hAnsi="宋体" w:eastAsia="仿宋_GB2312" w:cs="仿宋_GB2312"/>
          <w:sz w:val="32"/>
          <w:szCs w:val="32"/>
        </w:rPr>
        <w:t>3.投标人接受并严格执行《物资分公司供应商管理办法》，详见“淮北矿业电子商务采购平台”相关内容。</w:t>
      </w:r>
    </w:p>
    <w:p>
      <w:pPr>
        <w:numPr>
          <w:ilvl w:val="0"/>
          <w:numId w:val="0"/>
        </w:numPr>
        <w:spacing w:line="360" w:lineRule="auto"/>
        <w:rPr>
          <w:rFonts w:hint="eastAsia" w:ascii="仿宋" w:hAnsi="仿宋" w:eastAsia="仿宋" w:cs="仿宋"/>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15A9"/>
    <w:rsid w:val="07DC604B"/>
    <w:rsid w:val="287069D1"/>
    <w:rsid w:val="2E9B73A9"/>
    <w:rsid w:val="331315A6"/>
    <w:rsid w:val="38106000"/>
    <w:rsid w:val="39BB102D"/>
    <w:rsid w:val="3D6D5B34"/>
    <w:rsid w:val="3E652E17"/>
    <w:rsid w:val="4BE22924"/>
    <w:rsid w:val="50DA290B"/>
    <w:rsid w:val="57026FD2"/>
    <w:rsid w:val="5A9D44E0"/>
    <w:rsid w:val="5F2A74BC"/>
    <w:rsid w:val="61EC53E3"/>
    <w:rsid w:val="63824B48"/>
    <w:rsid w:val="72E033EA"/>
    <w:rsid w:val="76665BD4"/>
    <w:rsid w:val="76A2117A"/>
    <w:rsid w:val="77564344"/>
    <w:rsid w:val="77810648"/>
    <w:rsid w:val="7A124A38"/>
    <w:rsid w:val="7B8A6B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2020-04-23T05:46:35Z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